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1933"/>
        <w:gridCol w:w="1951"/>
        <w:gridCol w:w="2614"/>
      </w:tblGrid>
      <w:tr w:rsidR="007041E9" w:rsidTr="007041E9">
        <w:trPr>
          <w:trHeight w:val="1050"/>
        </w:trPr>
        <w:tc>
          <w:tcPr>
            <w:tcW w:w="3816" w:type="dxa"/>
          </w:tcPr>
          <w:p w:rsidR="007041E9" w:rsidRPr="00282047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Key elements to be included in draft contract, as laid down by </w:t>
            </w:r>
            <w:r w:rsidRPr="007041E9">
              <w:rPr>
                <w:rFonts w:ascii="Garamond" w:hAnsi="Garamond"/>
                <w:b/>
                <w:u w:val="single"/>
              </w:rPr>
              <w:t xml:space="preserve">Commission Delegated Regulation </w:t>
            </w:r>
            <w:r w:rsidRPr="007041E9">
              <w:rPr>
                <w:rFonts w:ascii="Garamond" w:hAnsi="Garamond"/>
                <w:b/>
                <w:u w:val="single"/>
              </w:rPr>
              <w:t>(EU) 2018/573</w:t>
            </w:r>
            <w:r w:rsidRPr="007041E9">
              <w:rPr>
                <w:b/>
                <w:sz w:val="24"/>
                <w:szCs w:val="24"/>
                <w:u w:val="single"/>
              </w:rPr>
              <w:t xml:space="preserve"> </w:t>
            </w:r>
            <w:r w:rsidRPr="007041E9">
              <w:rPr>
                <w:rFonts w:ascii="Garamond" w:hAnsi="Garamond"/>
                <w:b/>
                <w:u w:val="single"/>
              </w:rPr>
              <w:t>on key elements of data storage contracts to be concluded as part of a traceability system for tobacco products</w:t>
            </w:r>
          </w:p>
        </w:tc>
        <w:tc>
          <w:tcPr>
            <w:tcW w:w="1933" w:type="dxa"/>
          </w:tcPr>
          <w:p w:rsidR="007041E9" w:rsidRPr="00282047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Provision in Delegated Regulation (</w:t>
            </w:r>
            <w:r w:rsidRPr="007041E9">
              <w:rPr>
                <w:rFonts w:ascii="Garamond" w:hAnsi="Garamond"/>
                <w:b/>
              </w:rPr>
              <w:t>EU) 2018/573</w:t>
            </w:r>
          </w:p>
        </w:tc>
        <w:tc>
          <w:tcPr>
            <w:tcW w:w="1951" w:type="dxa"/>
          </w:tcPr>
          <w:p w:rsidR="007041E9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yes please tick the box</w:t>
            </w:r>
          </w:p>
          <w:p w:rsidR="007041E9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/</w:t>
            </w:r>
          </w:p>
          <w:p w:rsidR="007041E9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no please provide explanation.</w:t>
            </w:r>
          </w:p>
        </w:tc>
        <w:tc>
          <w:tcPr>
            <w:tcW w:w="2614" w:type="dxa"/>
          </w:tcPr>
          <w:p w:rsidR="007041E9" w:rsidRPr="00282047" w:rsidRDefault="007041E9" w:rsidP="007041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Indication of where corresponding provision is set out in draft contract submitted to Commission for approval (e.g. page number/</w:t>
            </w:r>
            <w:r>
              <w:rPr>
                <w:rFonts w:ascii="Garamond" w:hAnsi="Garamond"/>
                <w:b/>
              </w:rPr>
              <w:t>section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7041E9" w:rsidTr="007041E9">
        <w:trPr>
          <w:trHeight w:val="1020"/>
        </w:trPr>
        <w:tc>
          <w:tcPr>
            <w:tcW w:w="3816" w:type="dxa"/>
          </w:tcPr>
          <w:p w:rsidR="007041E9" w:rsidRDefault="007041E9" w:rsidP="002F6A5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E47529">
              <w:rPr>
                <w:rFonts w:ascii="Garamond" w:hAnsi="Garamond"/>
              </w:rPr>
              <w:t>Are</w:t>
            </w:r>
            <w:r>
              <w:rPr>
                <w:rFonts w:ascii="Garamond" w:hAnsi="Garamond"/>
                <w:b/>
              </w:rPr>
              <w:t xml:space="preserve"> </w:t>
            </w:r>
            <w:r w:rsidRPr="0065729D">
              <w:rPr>
                <w:rFonts w:ascii="Garamond" w:hAnsi="Garamond"/>
                <w:b/>
              </w:rPr>
              <w:t>Key Services</w:t>
            </w:r>
            <w:r w:rsidRPr="00282047">
              <w:rPr>
                <w:rFonts w:ascii="Garamond" w:hAnsi="Garamond"/>
              </w:rPr>
              <w:t xml:space="preserve"> to be rendered by the provider</w:t>
            </w:r>
            <w:r>
              <w:rPr>
                <w:rFonts w:ascii="Garamond" w:hAnsi="Garamond"/>
              </w:rPr>
              <w:t xml:space="preserve"> specified?</w:t>
            </w:r>
          </w:p>
          <w:p w:rsidR="007041E9" w:rsidRPr="00D2299C" w:rsidRDefault="007041E9" w:rsidP="00FD498F">
            <w:pPr>
              <w:pStyle w:val="ListParagraph"/>
            </w:pPr>
            <w:r>
              <w:rPr>
                <w:rFonts w:ascii="Garamond" w:hAnsi="Garamond"/>
              </w:rPr>
              <w:t>If yes, do they include:</w:t>
            </w:r>
          </w:p>
        </w:tc>
        <w:tc>
          <w:tcPr>
            <w:tcW w:w="1933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  <w:p w:rsidR="007041E9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282047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7041E9" w:rsidRDefault="007041E9" w:rsidP="007041E9">
            <w:pPr>
              <w:pStyle w:val="ListParagraph"/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701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"/>
              </w:numPr>
              <w:ind w:left="1026" w:hanging="284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Establishment &amp; operation of a primary repository</w:t>
            </w:r>
            <w:r>
              <w:rPr>
                <w:rFonts w:ascii="Garamond" w:hAnsi="Garamond"/>
              </w:rPr>
              <w:t xml:space="preserve">? </w:t>
            </w:r>
          </w:p>
          <w:p w:rsidR="007041E9" w:rsidRPr="00E47529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Pr="00282047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Art. 3</w:t>
            </w:r>
            <w:r>
              <w:rPr>
                <w:rFonts w:ascii="Garamond" w:hAnsi="Garamond"/>
              </w:rPr>
              <w:t xml:space="preserve"> (</w:t>
            </w:r>
            <w:r w:rsidRPr="0028204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) </w:t>
            </w:r>
            <w:r w:rsidRPr="00282047">
              <w:rPr>
                <w:rFonts w:ascii="Garamond" w:hAnsi="Garamond"/>
              </w:rPr>
              <w:t>(1)</w:t>
            </w:r>
          </w:p>
          <w:p w:rsidR="007041E9" w:rsidRPr="00282047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Delegated Regulation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245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Specifications relating to operability, availability and performance of the service of the primary repository?</w:t>
            </w:r>
          </w:p>
          <w:p w:rsidR="007041E9" w:rsidRPr="00282047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1C7C5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3 (2)</w:t>
            </w:r>
          </w:p>
          <w:p w:rsidR="007041E9" w:rsidRPr="00282047" w:rsidRDefault="007041E9" w:rsidP="001C7C54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Delegated Regulation</w:t>
            </w:r>
          </w:p>
          <w:p w:rsidR="007041E9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739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282047">
              <w:rPr>
                <w:rFonts w:ascii="Garamond" w:hAnsi="Garamond"/>
              </w:rPr>
              <w:t xml:space="preserve">stablishment &amp; operation of a </w:t>
            </w:r>
            <w:r>
              <w:rPr>
                <w:rFonts w:ascii="Garamond" w:hAnsi="Garamond"/>
              </w:rPr>
              <w:t>secondary</w:t>
            </w:r>
            <w:r w:rsidRPr="00282047">
              <w:rPr>
                <w:rFonts w:ascii="Garamond" w:hAnsi="Garamond"/>
              </w:rPr>
              <w:t xml:space="preserve"> repository</w:t>
            </w:r>
            <w:r>
              <w:rPr>
                <w:rFonts w:ascii="Garamond" w:hAnsi="Garamond"/>
              </w:rPr>
              <w:t>?</w:t>
            </w:r>
          </w:p>
          <w:p w:rsidR="007041E9" w:rsidRDefault="007041E9" w:rsidP="00427B15">
            <w:pPr>
              <w:pStyle w:val="ListParagraph"/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933" w:type="dxa"/>
          </w:tcPr>
          <w:p w:rsidR="007041E9" w:rsidRDefault="007041E9" w:rsidP="0047111F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Art. 3</w:t>
            </w:r>
            <w:r>
              <w:rPr>
                <w:rFonts w:ascii="Garamond" w:hAnsi="Garamond"/>
              </w:rPr>
              <w:t xml:space="preserve"> (</w:t>
            </w:r>
            <w:r w:rsidRPr="0028204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) </w:t>
            </w:r>
            <w:r w:rsidRPr="00282047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2</w:t>
            </w:r>
            <w:r w:rsidRPr="00282047">
              <w:rPr>
                <w:rFonts w:ascii="Garamond" w:hAnsi="Garamond"/>
              </w:rPr>
              <w:t>)</w:t>
            </w:r>
          </w:p>
          <w:p w:rsidR="007041E9" w:rsidRPr="00282047" w:rsidRDefault="007041E9" w:rsidP="00D2299C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Delegated Regulation</w:t>
            </w:r>
          </w:p>
          <w:p w:rsidR="007041E9" w:rsidRDefault="007041E9" w:rsidP="0047111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324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Specifications relating to operability, availability and performance of the service of the secondary repository?</w:t>
            </w:r>
          </w:p>
          <w:p w:rsidR="007041E9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47111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3 (2) </w:t>
            </w:r>
          </w:p>
          <w:p w:rsidR="007041E9" w:rsidRPr="00282047" w:rsidRDefault="007041E9" w:rsidP="0047111F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Delegated Regulation</w:t>
            </w:r>
          </w:p>
          <w:p w:rsidR="007041E9" w:rsidRDefault="007041E9" w:rsidP="00D505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501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5729D">
              <w:rPr>
                <w:rFonts w:ascii="Garamond" w:hAnsi="Garamond"/>
                <w:b/>
              </w:rPr>
              <w:t>Availability</w:t>
            </w:r>
          </w:p>
        </w:tc>
        <w:tc>
          <w:tcPr>
            <w:tcW w:w="1933" w:type="dxa"/>
          </w:tcPr>
          <w:p w:rsidR="007041E9" w:rsidRPr="00282047" w:rsidRDefault="007041E9" w:rsidP="00D4199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051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b/>
              </w:rPr>
            </w:pPr>
            <w:r w:rsidRPr="0065729D">
              <w:rPr>
                <w:rFonts w:ascii="Garamond" w:hAnsi="Garamond"/>
              </w:rPr>
              <w:t xml:space="preserve">Is a </w:t>
            </w:r>
            <w:r w:rsidRPr="0065729D">
              <w:rPr>
                <w:rFonts w:ascii="Garamond" w:hAnsi="Garamond"/>
                <w:i/>
              </w:rPr>
              <w:t>monthly uptime</w:t>
            </w:r>
            <w:r w:rsidRPr="0065729D">
              <w:rPr>
                <w:rFonts w:ascii="Garamond" w:hAnsi="Garamond"/>
              </w:rPr>
              <w:t xml:space="preserve"> and </w:t>
            </w:r>
            <w:r w:rsidRPr="0065729D">
              <w:rPr>
                <w:rFonts w:ascii="Garamond" w:hAnsi="Garamond"/>
                <w:i/>
              </w:rPr>
              <w:t>availability of 99.5%</w:t>
            </w:r>
            <w:r w:rsidRPr="0065729D">
              <w:rPr>
                <w:rFonts w:ascii="Garamond" w:hAnsi="Garamond"/>
              </w:rPr>
              <w:t xml:space="preserve"> of the primary repository guaranteed?</w:t>
            </w:r>
          </w:p>
        </w:tc>
        <w:tc>
          <w:tcPr>
            <w:tcW w:w="1933" w:type="dxa"/>
          </w:tcPr>
          <w:p w:rsidR="007041E9" w:rsidRPr="00282047" w:rsidRDefault="007041E9" w:rsidP="00D41995">
            <w:pPr>
              <w:tabs>
                <w:tab w:val="left" w:pos="1170"/>
              </w:tabs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Art. 5(1)</w:t>
            </w:r>
            <w:r w:rsidRPr="00282047">
              <w:rPr>
                <w:rFonts w:ascii="Garamond" w:hAnsi="Garamond"/>
              </w:rPr>
              <w:tab/>
            </w:r>
          </w:p>
          <w:p w:rsidR="007041E9" w:rsidRPr="00282047" w:rsidRDefault="007041E9" w:rsidP="00D41995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 xml:space="preserve">Delegated Regulation </w:t>
            </w:r>
          </w:p>
          <w:p w:rsidR="007041E9" w:rsidRPr="00282047" w:rsidRDefault="007041E9">
            <w:pPr>
              <w:rPr>
                <w:rFonts w:ascii="Garamond" w:hAnsi="Garamond"/>
              </w:rPr>
            </w:pPr>
          </w:p>
          <w:p w:rsidR="007041E9" w:rsidRPr="00282047" w:rsidRDefault="007041E9" w:rsidP="00D4199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947"/>
        </w:trPr>
        <w:tc>
          <w:tcPr>
            <w:tcW w:w="3816" w:type="dxa"/>
          </w:tcPr>
          <w:p w:rsidR="007041E9" w:rsidRPr="0065729D" w:rsidRDefault="007041E9" w:rsidP="00427B15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65729D">
              <w:rPr>
                <w:rFonts w:ascii="Garamond" w:hAnsi="Garamond"/>
              </w:rPr>
              <w:t xml:space="preserve">Is a </w:t>
            </w:r>
            <w:r w:rsidRPr="0065729D">
              <w:rPr>
                <w:rFonts w:ascii="Garamond" w:hAnsi="Garamond"/>
                <w:i/>
              </w:rPr>
              <w:t>back-up</w:t>
            </w:r>
            <w:r w:rsidRPr="0065729D">
              <w:rPr>
                <w:rFonts w:ascii="Garamond" w:hAnsi="Garamond"/>
              </w:rPr>
              <w:t xml:space="preserve"> mechanism</w:t>
            </w:r>
            <w:r>
              <w:rPr>
                <w:rFonts w:ascii="Garamond" w:hAnsi="Garamond"/>
              </w:rPr>
              <w:t xml:space="preserve"> </w:t>
            </w:r>
            <w:r w:rsidRPr="0065729D">
              <w:rPr>
                <w:rFonts w:ascii="Garamond" w:hAnsi="Garamond"/>
              </w:rPr>
              <w:t>guaranteed?</w:t>
            </w:r>
          </w:p>
        </w:tc>
        <w:tc>
          <w:tcPr>
            <w:tcW w:w="1933" w:type="dxa"/>
          </w:tcPr>
          <w:p w:rsidR="007041E9" w:rsidRPr="00282047" w:rsidRDefault="007041E9" w:rsidP="00D41995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Art. 5(2)</w:t>
            </w:r>
          </w:p>
          <w:p w:rsidR="007041E9" w:rsidRPr="00282047" w:rsidRDefault="007041E9" w:rsidP="00D41995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 xml:space="preserve">Delegated Regulation 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519"/>
        </w:trPr>
        <w:tc>
          <w:tcPr>
            <w:tcW w:w="3816" w:type="dxa"/>
          </w:tcPr>
          <w:p w:rsidR="007041E9" w:rsidRDefault="007041E9" w:rsidP="0028204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5729D">
              <w:rPr>
                <w:rFonts w:ascii="Garamond" w:hAnsi="Garamond"/>
                <w:b/>
              </w:rPr>
              <w:t>Access Rights</w:t>
            </w:r>
          </w:p>
          <w:p w:rsidR="007041E9" w:rsidRPr="00FD498F" w:rsidRDefault="007041E9" w:rsidP="00FD498F">
            <w:pPr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282047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3345"/>
        </w:trPr>
        <w:tc>
          <w:tcPr>
            <w:tcW w:w="3816" w:type="dxa"/>
          </w:tcPr>
          <w:p w:rsidR="007041E9" w:rsidRPr="00D2299C" w:rsidRDefault="007041E9" w:rsidP="00FD498F">
            <w:pPr>
              <w:pStyle w:val="ListParagraph"/>
              <w:numPr>
                <w:ilvl w:val="0"/>
                <w:numId w:val="5"/>
              </w:numPr>
              <w:ind w:left="1026" w:hanging="426"/>
              <w:rPr>
                <w:rFonts w:ascii="Garamond" w:hAnsi="Garamond"/>
                <w:b/>
              </w:rPr>
            </w:pPr>
            <w:r w:rsidRPr="004267A4">
              <w:rPr>
                <w:rFonts w:ascii="Garamond" w:hAnsi="Garamond"/>
              </w:rPr>
              <w:lastRenderedPageBreak/>
              <w:t>Are requirements for granting</w:t>
            </w:r>
            <w:r>
              <w:rPr>
                <w:rFonts w:ascii="Garamond" w:hAnsi="Garamond"/>
                <w:i/>
              </w:rPr>
              <w:t xml:space="preserve"> p</w:t>
            </w:r>
            <w:r w:rsidRPr="00B96D87">
              <w:rPr>
                <w:rFonts w:ascii="Garamond" w:hAnsi="Garamond"/>
                <w:i/>
              </w:rPr>
              <w:t xml:space="preserve">hysical and virtual access </w:t>
            </w:r>
            <w:r w:rsidRPr="004267A4">
              <w:rPr>
                <w:rFonts w:ascii="Garamond" w:hAnsi="Garamond"/>
              </w:rPr>
              <w:t>a</w:t>
            </w:r>
            <w:r w:rsidRPr="0047111F">
              <w:rPr>
                <w:rFonts w:ascii="Garamond" w:hAnsi="Garamond"/>
              </w:rPr>
              <w:t>t</w:t>
            </w:r>
            <w:r w:rsidRPr="00CB4D28">
              <w:rPr>
                <w:rFonts w:ascii="Garamond" w:hAnsi="Garamond"/>
              </w:rPr>
              <w:t xml:space="preserve"> server and </w:t>
            </w:r>
            <w:r>
              <w:rPr>
                <w:rFonts w:ascii="Garamond" w:hAnsi="Garamond"/>
              </w:rPr>
              <w:t xml:space="preserve">database </w:t>
            </w:r>
            <w:r w:rsidRPr="00CB4D28">
              <w:rPr>
                <w:rFonts w:ascii="Garamond" w:hAnsi="Garamond"/>
              </w:rPr>
              <w:t>(to MS, Commission and external auditors</w:t>
            </w:r>
            <w:r>
              <w:rPr>
                <w:rFonts w:ascii="Garamond" w:hAnsi="Garamond"/>
              </w:rPr>
              <w:t>) specified?</w:t>
            </w:r>
          </w:p>
        </w:tc>
        <w:tc>
          <w:tcPr>
            <w:tcW w:w="1933" w:type="dxa"/>
          </w:tcPr>
          <w:p w:rsidR="007041E9" w:rsidRPr="00282047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>Art. 6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 w:rsidRPr="00282047">
              <w:rPr>
                <w:rFonts w:ascii="Garamond" w:hAnsi="Garamond"/>
              </w:rPr>
              <w:t xml:space="preserve">Delegated Regulation 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713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5729D">
              <w:rPr>
                <w:rFonts w:ascii="Garamond" w:hAnsi="Garamond"/>
                <w:b/>
              </w:rPr>
              <w:t>Sub-contracting</w:t>
            </w:r>
            <w:r>
              <w:rPr>
                <w:rFonts w:ascii="Garamond" w:hAnsi="Garamond"/>
              </w:rPr>
              <w:t xml:space="preserve"> (applies only in case the contract specifies it)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282047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570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5"/>
              </w:numPr>
              <w:ind w:left="1026" w:hanging="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include a p</w:t>
            </w:r>
            <w:r w:rsidRPr="00FD489B">
              <w:rPr>
                <w:rFonts w:ascii="Garamond" w:hAnsi="Garamond"/>
              </w:rPr>
              <w:t xml:space="preserve">rovision clarifying that the subcontract does not affect the primary responsibility </w:t>
            </w:r>
            <w:r>
              <w:rPr>
                <w:rFonts w:ascii="Garamond" w:hAnsi="Garamond"/>
              </w:rPr>
              <w:t>of the provider?</w:t>
            </w:r>
          </w:p>
          <w:p w:rsidR="007041E9" w:rsidRPr="00FD498F" w:rsidRDefault="007041E9" w:rsidP="00FD498F">
            <w:pPr>
              <w:ind w:left="600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7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596"/>
        </w:trPr>
        <w:tc>
          <w:tcPr>
            <w:tcW w:w="3816" w:type="dxa"/>
          </w:tcPr>
          <w:p w:rsidR="007041E9" w:rsidRPr="004267A4" w:rsidRDefault="007041E9" w:rsidP="00427B15">
            <w:pPr>
              <w:pStyle w:val="ListParagraph"/>
              <w:numPr>
                <w:ilvl w:val="0"/>
                <w:numId w:val="5"/>
              </w:numPr>
              <w:ind w:left="1026" w:hanging="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require the p</w:t>
            </w:r>
            <w:r w:rsidRPr="00FD489B">
              <w:rPr>
                <w:rFonts w:ascii="Garamond" w:hAnsi="Garamond"/>
              </w:rPr>
              <w:t>rovide</w:t>
            </w:r>
            <w:r>
              <w:rPr>
                <w:rFonts w:ascii="Garamond" w:hAnsi="Garamond"/>
              </w:rPr>
              <w:t xml:space="preserve">r to ensure </w:t>
            </w:r>
            <w:r w:rsidRPr="00FD489B">
              <w:rPr>
                <w:rFonts w:ascii="Garamond" w:hAnsi="Garamond"/>
              </w:rPr>
              <w:t>that the subcontract</w:t>
            </w:r>
            <w:r>
              <w:rPr>
                <w:rFonts w:ascii="Garamond" w:hAnsi="Garamond"/>
              </w:rPr>
              <w:t>or</w:t>
            </w:r>
            <w:r w:rsidRPr="00FD489B">
              <w:rPr>
                <w:rFonts w:ascii="Garamond" w:hAnsi="Garamond"/>
              </w:rPr>
              <w:t xml:space="preserve"> has the necessary </w:t>
            </w:r>
            <w:r w:rsidRPr="00FD489B">
              <w:rPr>
                <w:rFonts w:ascii="Garamond" w:hAnsi="Garamond"/>
                <w:i/>
              </w:rPr>
              <w:t>technical</w:t>
            </w:r>
            <w:r w:rsidRPr="00FD489B">
              <w:rPr>
                <w:rFonts w:ascii="Garamond" w:hAnsi="Garamond"/>
              </w:rPr>
              <w:t xml:space="preserve"> </w:t>
            </w:r>
            <w:r w:rsidRPr="00E10371">
              <w:rPr>
                <w:rFonts w:ascii="Garamond" w:hAnsi="Garamond"/>
                <w:i/>
              </w:rPr>
              <w:t>expertise</w:t>
            </w:r>
            <w:r>
              <w:rPr>
                <w:rFonts w:ascii="Garamond" w:hAnsi="Garamond"/>
              </w:rPr>
              <w:t xml:space="preserve"> </w:t>
            </w:r>
            <w:r w:rsidRPr="00FD489B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  <w:i/>
              </w:rPr>
              <w:t xml:space="preserve"> meets the requirement of independence?</w:t>
            </w:r>
          </w:p>
          <w:p w:rsidR="007041E9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7 (2) (a)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5942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5"/>
              </w:numPr>
              <w:ind w:left="1026" w:hanging="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Does the contract require the provider to submit a copy of the </w:t>
            </w:r>
            <w:r w:rsidRPr="00FD489B">
              <w:rPr>
                <w:rFonts w:ascii="Garamond" w:hAnsi="Garamond"/>
                <w:i/>
              </w:rPr>
              <w:t xml:space="preserve">legal </w:t>
            </w:r>
            <w:r>
              <w:rPr>
                <w:rFonts w:ascii="Garamond" w:hAnsi="Garamond"/>
              </w:rPr>
              <w:t xml:space="preserve">and </w:t>
            </w:r>
            <w:r w:rsidRPr="00FD489B">
              <w:rPr>
                <w:rFonts w:ascii="Garamond" w:hAnsi="Garamond"/>
                <w:i/>
              </w:rPr>
              <w:t>financial declaration</w:t>
            </w:r>
            <w:r>
              <w:rPr>
                <w:rFonts w:ascii="Garamond" w:hAnsi="Garamond"/>
              </w:rPr>
              <w:t>, signed by the subcontractor, to the Commission?</w:t>
            </w:r>
          </w:p>
        </w:tc>
        <w:tc>
          <w:tcPr>
            <w:tcW w:w="1933" w:type="dxa"/>
          </w:tcPr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7(2) (b)</w:t>
            </w: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375"/>
        </w:trPr>
        <w:tc>
          <w:tcPr>
            <w:tcW w:w="3816" w:type="dxa"/>
          </w:tcPr>
          <w:p w:rsidR="007041E9" w:rsidRPr="00CB5275" w:rsidRDefault="007041E9" w:rsidP="00FD498F">
            <w:pPr>
              <w:pStyle w:val="ListParagraph"/>
              <w:numPr>
                <w:ilvl w:val="0"/>
                <w:numId w:val="1"/>
              </w:numPr>
            </w:pPr>
            <w:r w:rsidRPr="0065729D">
              <w:rPr>
                <w:rFonts w:ascii="Garamond" w:hAnsi="Garamond"/>
                <w:b/>
              </w:rPr>
              <w:t>Data Protection</w:t>
            </w:r>
            <w:r>
              <w:rPr>
                <w:rFonts w:ascii="Garamond" w:hAnsi="Garamond"/>
                <w:b/>
              </w:rPr>
              <w:t>/</w:t>
            </w:r>
            <w:r w:rsidRPr="0065729D">
              <w:rPr>
                <w:rFonts w:ascii="Garamond" w:hAnsi="Garamond"/>
                <w:b/>
              </w:rPr>
              <w:t xml:space="preserve"> Confidentiality</w:t>
            </w:r>
            <w:r>
              <w:rPr>
                <w:rFonts w:ascii="Garamond" w:hAnsi="Garamond"/>
              </w:rPr>
              <w:t xml:space="preserve"> (technical, physical, safety and security control info should be provided)</w:t>
            </w:r>
          </w:p>
        </w:tc>
        <w:tc>
          <w:tcPr>
            <w:tcW w:w="1933" w:type="dxa"/>
          </w:tcPr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596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13"/>
              </w:numPr>
              <w:ind w:left="1026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Does the contract specify that the provider will </w:t>
            </w:r>
            <w:r w:rsidRPr="00D6533D">
              <w:rPr>
                <w:rFonts w:ascii="Garamond" w:hAnsi="Garamond"/>
              </w:rPr>
              <w:t>ensure the confidentiality, integrity and availability of all data</w:t>
            </w:r>
            <w:r>
              <w:rPr>
                <w:rFonts w:ascii="Garamond" w:hAnsi="Garamond"/>
              </w:rPr>
              <w:t xml:space="preserve"> stored through appropriate measures</w:t>
            </w:r>
            <w:r w:rsidRPr="00D6533D">
              <w:rPr>
                <w:rFonts w:ascii="Garamond" w:hAnsi="Garamond"/>
              </w:rPr>
              <w:t>?</w:t>
            </w: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9 (1)</w:t>
            </w: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112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13"/>
              </w:numPr>
              <w:ind w:left="1026" w:hanging="284"/>
              <w:rPr>
                <w:rFonts w:ascii="Garamond" w:hAnsi="Garamond"/>
              </w:rPr>
            </w:pPr>
            <w:r w:rsidRPr="00D6533D">
              <w:rPr>
                <w:rFonts w:ascii="Garamond" w:hAnsi="Garamond"/>
              </w:rPr>
              <w:lastRenderedPageBreak/>
              <w:t>Is it spe</w:t>
            </w:r>
            <w:r>
              <w:rPr>
                <w:rFonts w:ascii="Garamond" w:hAnsi="Garamond"/>
              </w:rPr>
              <w:t>cified that personal data will</w:t>
            </w:r>
            <w:r w:rsidRPr="00D6533D">
              <w:rPr>
                <w:rFonts w:ascii="Garamond" w:hAnsi="Garamond"/>
              </w:rPr>
              <w:t xml:space="preserve"> be processed in accordance with Directive 95/46/EC?</w:t>
            </w: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9 (2) 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D24458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726"/>
        </w:trPr>
        <w:tc>
          <w:tcPr>
            <w:tcW w:w="3816" w:type="dxa"/>
          </w:tcPr>
          <w:p w:rsidR="007041E9" w:rsidRPr="004E1C39" w:rsidRDefault="007041E9" w:rsidP="004E1C3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E1C39">
              <w:rPr>
                <w:rFonts w:ascii="Garamond" w:hAnsi="Garamond"/>
                <w:b/>
              </w:rPr>
              <w:t>Information security management</w:t>
            </w:r>
            <w:r w:rsidRPr="004E1C39">
              <w:rPr>
                <w:rFonts w:ascii="Garamond" w:hAnsi="Garamond"/>
              </w:rPr>
              <w:t xml:space="preserve"> </w:t>
            </w:r>
          </w:p>
          <w:p w:rsidR="007041E9" w:rsidRPr="004267A4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348"/>
        </w:trPr>
        <w:tc>
          <w:tcPr>
            <w:tcW w:w="3816" w:type="dxa"/>
          </w:tcPr>
          <w:p w:rsidR="007041E9" w:rsidRPr="004E1C39" w:rsidRDefault="007041E9" w:rsidP="008B02DE">
            <w:pPr>
              <w:pStyle w:val="ListParagraph"/>
              <w:numPr>
                <w:ilvl w:val="0"/>
                <w:numId w:val="13"/>
              </w:numPr>
              <w:ind w:left="1026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Does the contract include a </w:t>
            </w:r>
            <w:r w:rsidRPr="00D6533D">
              <w:rPr>
                <w:rFonts w:ascii="Garamond" w:hAnsi="Garamond"/>
              </w:rPr>
              <w:t xml:space="preserve">declaration </w:t>
            </w:r>
            <w:r>
              <w:rPr>
                <w:rFonts w:ascii="Garamond" w:hAnsi="Garamond"/>
              </w:rPr>
              <w:t xml:space="preserve">by the provider </w:t>
            </w:r>
            <w:r w:rsidRPr="00D6533D">
              <w:rPr>
                <w:rFonts w:ascii="Garamond" w:hAnsi="Garamond"/>
              </w:rPr>
              <w:t xml:space="preserve">that </w:t>
            </w:r>
            <w:r>
              <w:rPr>
                <w:rFonts w:ascii="Garamond" w:hAnsi="Garamond"/>
              </w:rPr>
              <w:t xml:space="preserve">the </w:t>
            </w:r>
            <w:r w:rsidRPr="00D6533D">
              <w:rPr>
                <w:rFonts w:ascii="Garamond" w:hAnsi="Garamond"/>
              </w:rPr>
              <w:t>primary repository</w:t>
            </w:r>
            <w:r>
              <w:rPr>
                <w:rFonts w:ascii="Garamond" w:hAnsi="Garamond"/>
              </w:rPr>
              <w:t xml:space="preserve"> will be </w:t>
            </w:r>
            <w:r w:rsidRPr="00D6533D">
              <w:rPr>
                <w:rFonts w:ascii="Garamond" w:hAnsi="Garamond"/>
              </w:rPr>
              <w:t>managed in accordance with internationally recognised information security management standards?</w:t>
            </w:r>
          </w:p>
        </w:tc>
        <w:tc>
          <w:tcPr>
            <w:tcW w:w="1933" w:type="dxa"/>
          </w:tcPr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10 </w:t>
            </w:r>
          </w:p>
          <w:p w:rsidR="007041E9" w:rsidRDefault="007041E9" w:rsidP="004E1C3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93"/>
        </w:trPr>
        <w:tc>
          <w:tcPr>
            <w:tcW w:w="3816" w:type="dxa"/>
          </w:tcPr>
          <w:p w:rsidR="007041E9" w:rsidRDefault="007041E9" w:rsidP="00D2445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5729D">
              <w:rPr>
                <w:rFonts w:ascii="Garamond" w:hAnsi="Garamond"/>
                <w:b/>
              </w:rPr>
              <w:t>Cost</w:t>
            </w:r>
            <w:r>
              <w:rPr>
                <w:rFonts w:ascii="Garamond" w:hAnsi="Garamond"/>
                <w:b/>
              </w:rPr>
              <w:t>s</w:t>
            </w:r>
          </w:p>
          <w:p w:rsidR="007041E9" w:rsidRPr="00CB5275" w:rsidRDefault="007041E9" w:rsidP="008B02DE">
            <w:pPr>
              <w:pStyle w:val="ListParagraph"/>
              <w:ind w:left="1310" w:hanging="284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986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8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require</w:t>
            </w:r>
            <w:r w:rsidRPr="000C7E4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the costs to be </w:t>
            </w:r>
            <w:r w:rsidRPr="000C7E41">
              <w:rPr>
                <w:rFonts w:ascii="Garamond" w:hAnsi="Garamond"/>
              </w:rPr>
              <w:t>fair, reasonable and proportionate</w:t>
            </w:r>
            <w:r>
              <w:rPr>
                <w:rFonts w:ascii="Garamond" w:hAnsi="Garamond"/>
              </w:rPr>
              <w:t xml:space="preserve"> to:</w:t>
            </w:r>
          </w:p>
          <w:p w:rsidR="007041E9" w:rsidRPr="0065729D" w:rsidRDefault="007041E9" w:rsidP="008B02DE">
            <w:pPr>
              <w:pStyle w:val="ListParagraph"/>
              <w:ind w:left="1310" w:hanging="284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CB527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11 (a) (b)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917"/>
        </w:trPr>
        <w:tc>
          <w:tcPr>
            <w:tcW w:w="3816" w:type="dxa"/>
          </w:tcPr>
          <w:p w:rsidR="007041E9" w:rsidRDefault="007041E9" w:rsidP="008B02DE">
            <w:pPr>
              <w:pStyle w:val="ListParagraph"/>
              <w:ind w:left="1310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(a) the service rendered by the provider and 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064"/>
        </w:trPr>
        <w:tc>
          <w:tcPr>
            <w:tcW w:w="3816" w:type="dxa"/>
          </w:tcPr>
          <w:p w:rsidR="007041E9" w:rsidRDefault="007041E9" w:rsidP="008B02DE">
            <w:pPr>
              <w:pStyle w:val="ListParagraph"/>
              <w:ind w:left="1310" w:hanging="284"/>
              <w:rPr>
                <w:rFonts w:ascii="Garamond" w:hAnsi="Garamond"/>
              </w:rPr>
            </w:pPr>
          </w:p>
          <w:p w:rsidR="007041E9" w:rsidRDefault="007041E9" w:rsidP="008B02DE">
            <w:pPr>
              <w:pStyle w:val="ListParagraph"/>
              <w:ind w:left="1310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(b) </w:t>
            </w:r>
            <w:proofErr w:type="gramStart"/>
            <w:r>
              <w:rPr>
                <w:rFonts w:ascii="Garamond" w:hAnsi="Garamond"/>
              </w:rPr>
              <w:t>the</w:t>
            </w:r>
            <w:proofErr w:type="gramEnd"/>
            <w:r>
              <w:rPr>
                <w:rFonts w:ascii="Garamond" w:hAnsi="Garamond"/>
              </w:rPr>
              <w:t xml:space="preserve"> number of unique identifier requested?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623"/>
        </w:trPr>
        <w:tc>
          <w:tcPr>
            <w:tcW w:w="3816" w:type="dxa"/>
          </w:tcPr>
          <w:p w:rsidR="007041E9" w:rsidRPr="000D36DE" w:rsidRDefault="007041E9" w:rsidP="000D36D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0D36DE">
              <w:rPr>
                <w:rFonts w:ascii="Garamond" w:hAnsi="Garamond"/>
                <w:b/>
              </w:rPr>
              <w:lastRenderedPageBreak/>
              <w:t xml:space="preserve">Participation in the Secondary Repository System 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076"/>
        </w:trPr>
        <w:tc>
          <w:tcPr>
            <w:tcW w:w="3816" w:type="dxa"/>
          </w:tcPr>
          <w:p w:rsidR="007041E9" w:rsidRDefault="007041E9" w:rsidP="008947B0">
            <w:pPr>
              <w:pStyle w:val="ListParagraph"/>
              <w:rPr>
                <w:rFonts w:ascii="Garamond" w:hAnsi="Garamond"/>
                <w:b/>
              </w:rPr>
            </w:pPr>
          </w:p>
          <w:p w:rsidR="007041E9" w:rsidRPr="004267A4" w:rsidRDefault="007041E9" w:rsidP="00427B15">
            <w:pPr>
              <w:pStyle w:val="ListParagraph"/>
              <w:numPr>
                <w:ilvl w:val="0"/>
                <w:numId w:val="8"/>
              </w:numPr>
              <w:ind w:left="1026" w:hanging="284"/>
              <w:rPr>
                <w:rFonts w:ascii="Garamond" w:hAnsi="Garamond"/>
                <w:b/>
              </w:rPr>
            </w:pPr>
            <w:r w:rsidRPr="000D36DE">
              <w:rPr>
                <w:rFonts w:ascii="Garamond" w:hAnsi="Garamond"/>
              </w:rPr>
              <w:t xml:space="preserve">Does the contract </w:t>
            </w:r>
            <w:r>
              <w:rPr>
                <w:rFonts w:ascii="Garamond" w:hAnsi="Garamond"/>
              </w:rPr>
              <w:t>require</w:t>
            </w:r>
            <w:r w:rsidRPr="000D36DE">
              <w:rPr>
                <w:rFonts w:ascii="Garamond" w:hAnsi="Garamond"/>
              </w:rPr>
              <w:t xml:space="preserve"> the provider to participate in the establishment of the </w:t>
            </w:r>
            <w:r>
              <w:rPr>
                <w:rFonts w:ascii="Garamond" w:hAnsi="Garamond"/>
              </w:rPr>
              <w:t>s</w:t>
            </w:r>
            <w:r w:rsidRPr="000D36DE">
              <w:rPr>
                <w:rFonts w:ascii="Garamond" w:hAnsi="Garamond"/>
              </w:rPr>
              <w:t xml:space="preserve">econdary </w:t>
            </w:r>
            <w:r>
              <w:rPr>
                <w:rFonts w:ascii="Garamond" w:hAnsi="Garamond"/>
              </w:rPr>
              <w:t>r</w:t>
            </w:r>
            <w:r w:rsidRPr="000D36DE">
              <w:rPr>
                <w:rFonts w:ascii="Garamond" w:hAnsi="Garamond"/>
              </w:rPr>
              <w:t xml:space="preserve">epository </w:t>
            </w:r>
            <w:r>
              <w:rPr>
                <w:rFonts w:ascii="Garamond" w:hAnsi="Garamond"/>
              </w:rPr>
              <w:t>s</w:t>
            </w:r>
            <w:r w:rsidRPr="000D36DE">
              <w:rPr>
                <w:rFonts w:ascii="Garamond" w:hAnsi="Garamond"/>
              </w:rPr>
              <w:t>ystem</w:t>
            </w:r>
            <w:r>
              <w:rPr>
                <w:rFonts w:ascii="Garamond" w:hAnsi="Garamond"/>
              </w:rPr>
              <w:t>, as may be required in accordance with the Implementing Regulation</w:t>
            </w:r>
            <w:r w:rsidRPr="000D36DE">
              <w:rPr>
                <w:rFonts w:ascii="Garamond" w:hAnsi="Garamond"/>
              </w:rPr>
              <w:t>?</w:t>
            </w:r>
          </w:p>
          <w:p w:rsidR="007041E9" w:rsidRPr="000D36DE" w:rsidRDefault="007041E9" w:rsidP="00FD498F">
            <w:pPr>
              <w:pStyle w:val="ListParagraph"/>
              <w:ind w:left="1026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12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698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8"/>
              </w:numPr>
              <w:ind w:left="1026" w:hanging="284"/>
              <w:rPr>
                <w:rFonts w:ascii="Garamond" w:hAnsi="Garamond"/>
                <w:b/>
              </w:rPr>
            </w:pPr>
            <w:r w:rsidRPr="000D36DE">
              <w:rPr>
                <w:rFonts w:ascii="Garamond" w:hAnsi="Garamond"/>
              </w:rPr>
              <w:t xml:space="preserve">Does the contract contain a provision </w:t>
            </w:r>
            <w:r>
              <w:rPr>
                <w:rFonts w:ascii="Garamond" w:hAnsi="Garamond"/>
              </w:rPr>
              <w:t xml:space="preserve">allowing </w:t>
            </w:r>
            <w:r w:rsidRPr="000D36DE">
              <w:rPr>
                <w:rFonts w:ascii="Garamond" w:hAnsi="Garamond"/>
              </w:rPr>
              <w:t>providers to recover from manufacturers/importers the cost</w:t>
            </w:r>
            <w:r>
              <w:rPr>
                <w:rFonts w:ascii="Garamond" w:hAnsi="Garamond"/>
              </w:rPr>
              <w:t xml:space="preserve"> arising in connection with the establishment, operation and maintenance of the secondary repository</w:t>
            </w:r>
            <w:r w:rsidRPr="000D36DE">
              <w:rPr>
                <w:rFonts w:ascii="Garamond" w:hAnsi="Garamond"/>
              </w:rPr>
              <w:t>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12 (2)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 w:rsidDel="004267A4">
              <w:rPr>
                <w:rFonts w:ascii="Garamond" w:hAnsi="Garamond"/>
              </w:rPr>
              <w:t xml:space="preserve"> 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382"/>
        </w:trPr>
        <w:tc>
          <w:tcPr>
            <w:tcW w:w="3816" w:type="dxa"/>
          </w:tcPr>
          <w:p w:rsidR="007041E9" w:rsidRPr="00BE47E1" w:rsidRDefault="007041E9" w:rsidP="00B40B13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BE47E1">
              <w:rPr>
                <w:rFonts w:ascii="Garamond" w:hAnsi="Garamond"/>
                <w:b/>
              </w:rPr>
              <w:t>Duration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489"/>
        </w:trPr>
        <w:tc>
          <w:tcPr>
            <w:tcW w:w="3816" w:type="dxa"/>
          </w:tcPr>
          <w:p w:rsidR="007041E9" w:rsidRPr="00E95E1A" w:rsidRDefault="007041E9" w:rsidP="00E95E1A">
            <w:pPr>
              <w:rPr>
                <w:rFonts w:ascii="Garamond" w:hAnsi="Garamond"/>
                <w:b/>
              </w:rPr>
            </w:pPr>
          </w:p>
          <w:p w:rsidR="007041E9" w:rsidRPr="00BE47E1" w:rsidRDefault="007041E9" w:rsidP="008B02DE">
            <w:pPr>
              <w:pStyle w:val="ListParagraph"/>
              <w:numPr>
                <w:ilvl w:val="0"/>
                <w:numId w:val="18"/>
              </w:numPr>
              <w:ind w:left="1026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Is the 5 minimum years fixed (with possibility of renewal)?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13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665"/>
        </w:trPr>
        <w:tc>
          <w:tcPr>
            <w:tcW w:w="3816" w:type="dxa"/>
          </w:tcPr>
          <w:p w:rsidR="007041E9" w:rsidRPr="00E10371" w:rsidRDefault="007041E9" w:rsidP="00BE47E1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BE47E1">
              <w:rPr>
                <w:rFonts w:ascii="Garamond" w:hAnsi="Garamond"/>
                <w:b/>
              </w:rPr>
              <w:t xml:space="preserve">Communication with other parties 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4267A4" w:rsidRDefault="007041E9" w:rsidP="004267A4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Default="007041E9">
            <w:pPr>
              <w:rPr>
                <w:rFonts w:ascii="Garamond" w:hAnsi="Garamond"/>
              </w:rPr>
            </w:pPr>
          </w:p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986"/>
        </w:trPr>
        <w:tc>
          <w:tcPr>
            <w:tcW w:w="3816" w:type="dxa"/>
          </w:tcPr>
          <w:p w:rsidR="007041E9" w:rsidRDefault="007041E9" w:rsidP="008947B0">
            <w:pPr>
              <w:pStyle w:val="ListParagraph"/>
              <w:rPr>
                <w:rFonts w:ascii="Garamond" w:hAnsi="Garamond"/>
                <w:b/>
              </w:rPr>
            </w:pPr>
          </w:p>
          <w:p w:rsidR="007041E9" w:rsidRDefault="007041E9" w:rsidP="00427B15">
            <w:pPr>
              <w:pStyle w:val="ListParagraph"/>
              <w:numPr>
                <w:ilvl w:val="0"/>
                <w:numId w:val="18"/>
              </w:numPr>
              <w:ind w:left="1026" w:hanging="284"/>
              <w:rPr>
                <w:rFonts w:ascii="Garamond" w:hAnsi="Garamond"/>
              </w:rPr>
            </w:pPr>
            <w:r w:rsidRPr="000C7E41">
              <w:rPr>
                <w:rFonts w:ascii="Garamond" w:hAnsi="Garamond"/>
              </w:rPr>
              <w:t xml:space="preserve">Does the contract </w:t>
            </w:r>
            <w:r>
              <w:rPr>
                <w:rFonts w:ascii="Garamond" w:hAnsi="Garamond"/>
              </w:rPr>
              <w:t>require</w:t>
            </w:r>
            <w:r w:rsidRPr="000C7E41">
              <w:rPr>
                <w:rFonts w:ascii="Garamond" w:hAnsi="Garamond"/>
              </w:rPr>
              <w:t xml:space="preserve"> cooperation among providers?</w:t>
            </w:r>
          </w:p>
          <w:p w:rsidR="007041E9" w:rsidRPr="00BE47E1" w:rsidRDefault="007041E9" w:rsidP="00FD498F">
            <w:pPr>
              <w:pStyle w:val="ListParagraph"/>
              <w:ind w:left="1026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14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4267A4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Default="007041E9">
            <w:pPr>
              <w:rPr>
                <w:rFonts w:ascii="Garamond" w:hAnsi="Garamond"/>
              </w:rPr>
            </w:pPr>
          </w:p>
          <w:p w:rsidR="007041E9" w:rsidRDefault="007041E9" w:rsidP="00D2299C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685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18"/>
              </w:numPr>
              <w:ind w:left="1026" w:hanging="284"/>
              <w:rPr>
                <w:rFonts w:ascii="Garamond" w:hAnsi="Garamond"/>
                <w:b/>
              </w:rPr>
            </w:pPr>
            <w:r w:rsidRPr="00BE47E1">
              <w:rPr>
                <w:rFonts w:ascii="Garamond" w:hAnsi="Garamond"/>
              </w:rPr>
              <w:t xml:space="preserve">Does the contract </w:t>
            </w:r>
            <w:r>
              <w:rPr>
                <w:rFonts w:ascii="Garamond" w:hAnsi="Garamond"/>
              </w:rPr>
              <w:t>require</w:t>
            </w:r>
            <w:r w:rsidRPr="00BE47E1">
              <w:rPr>
                <w:rFonts w:ascii="Garamond" w:hAnsi="Garamond"/>
              </w:rPr>
              <w:t xml:space="preserve"> cooperation with competent authorities of MS?</w:t>
            </w: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14 </w:t>
            </w:r>
          </w:p>
          <w:p w:rsidR="007041E9" w:rsidRDefault="007041E9" w:rsidP="004267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</w:tc>
        <w:tc>
          <w:tcPr>
            <w:tcW w:w="1951" w:type="dxa"/>
          </w:tcPr>
          <w:p w:rsidR="007041E9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Default="007041E9">
            <w:pPr>
              <w:rPr>
                <w:rFonts w:ascii="Garamond" w:hAnsi="Garamond"/>
              </w:rPr>
            </w:pPr>
          </w:p>
          <w:p w:rsidR="007041E9" w:rsidRDefault="007041E9">
            <w:pPr>
              <w:rPr>
                <w:rFonts w:ascii="Garamond" w:hAnsi="Garamond"/>
              </w:rPr>
            </w:pPr>
          </w:p>
          <w:p w:rsidR="007041E9" w:rsidRDefault="007041E9">
            <w:pPr>
              <w:rPr>
                <w:rFonts w:ascii="Garamond" w:hAnsi="Garamond"/>
              </w:rPr>
            </w:pPr>
          </w:p>
          <w:p w:rsidR="007041E9" w:rsidRDefault="007041E9">
            <w:pPr>
              <w:rPr>
                <w:rFonts w:ascii="Garamond" w:hAnsi="Garamond"/>
              </w:rPr>
            </w:pPr>
          </w:p>
          <w:p w:rsidR="007041E9" w:rsidRDefault="007041E9" w:rsidP="00D2299C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80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Audits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A123EB" w:rsidRDefault="007041E9" w:rsidP="00A123EB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102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lay down terms enabling external approved auditors to carry out announced and unannounced audits (of primary and, where applicable, secondary repositories)</w:t>
            </w:r>
            <w:r w:rsidRPr="00E3695C">
              <w:rPr>
                <w:rFonts w:ascii="Garamond" w:hAnsi="Garamond"/>
              </w:rPr>
              <w:t>?</w:t>
            </w:r>
          </w:p>
          <w:p w:rsidR="007041E9" w:rsidRDefault="007041E9" w:rsidP="00FD498F">
            <w:pPr>
              <w:pStyle w:val="ListParagraph"/>
              <w:ind w:left="1026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15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A123EB">
            <w:pPr>
              <w:rPr>
                <w:rFonts w:ascii="Garamond" w:hAnsi="Garamond"/>
              </w:rPr>
            </w:pPr>
          </w:p>
          <w:p w:rsidR="007041E9" w:rsidRPr="00A123EB" w:rsidRDefault="007041E9" w:rsidP="00A123EB">
            <w:pPr>
              <w:rPr>
                <w:rFonts w:ascii="Garamond" w:hAnsi="Garamond"/>
              </w:rPr>
            </w:pPr>
          </w:p>
          <w:p w:rsidR="007041E9" w:rsidRDefault="007041E9" w:rsidP="00A123EB">
            <w:pPr>
              <w:rPr>
                <w:rFonts w:ascii="Garamond" w:hAnsi="Garamond"/>
              </w:rPr>
            </w:pPr>
          </w:p>
          <w:p w:rsidR="007041E9" w:rsidRDefault="007041E9" w:rsidP="00A123EB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656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contract specify that external auditors are granted </w:t>
            </w:r>
            <w:r w:rsidRPr="00A123EB">
              <w:rPr>
                <w:rFonts w:ascii="Garamond" w:hAnsi="Garamond"/>
              </w:rPr>
              <w:t>unrestricted physical and virtual access (for the duration of the audits) to the primary repository and, where applicabl</w:t>
            </w:r>
            <w:r>
              <w:rPr>
                <w:rFonts w:ascii="Garamond" w:hAnsi="Garamond"/>
              </w:rPr>
              <w:t>e, to the secondary repository</w:t>
            </w:r>
            <w:r w:rsidRPr="00A123EB">
              <w:rPr>
                <w:rFonts w:ascii="Garamond" w:hAnsi="Garamond"/>
              </w:rPr>
              <w:t>?</w:t>
            </w: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15 (2)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A123EB">
            <w:pPr>
              <w:rPr>
                <w:rFonts w:ascii="Garamond" w:hAnsi="Garamond"/>
              </w:rPr>
            </w:pPr>
          </w:p>
          <w:p w:rsidR="007041E9" w:rsidDel="00FD498F" w:rsidRDefault="007041E9" w:rsidP="00A123EB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549"/>
        </w:trPr>
        <w:tc>
          <w:tcPr>
            <w:tcW w:w="3816" w:type="dxa"/>
          </w:tcPr>
          <w:p w:rsidR="007041E9" w:rsidRPr="00DD1FDE" w:rsidRDefault="007041E9" w:rsidP="00A123EB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b/>
              </w:rPr>
            </w:pPr>
            <w:r w:rsidRPr="00DD1FDE">
              <w:rPr>
                <w:rFonts w:ascii="Garamond" w:hAnsi="Garamond"/>
                <w:b/>
              </w:rPr>
              <w:t xml:space="preserve">Liability </w:t>
            </w:r>
          </w:p>
          <w:p w:rsidR="007041E9" w:rsidRPr="00A123EB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4267A4" w:rsidRDefault="007041E9" w:rsidP="004267A4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285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8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Does the contract lay down terms detailing the liability of parties (for direct/indirect damages)?</w:t>
            </w:r>
          </w:p>
          <w:p w:rsidR="007041E9" w:rsidRPr="00DD1FDE" w:rsidRDefault="007041E9" w:rsidP="00FD498F">
            <w:pPr>
              <w:pStyle w:val="ListParagraph"/>
              <w:ind w:left="1026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16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4267A4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803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28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contract </w:t>
            </w:r>
            <w:r w:rsidRPr="00A123EB">
              <w:rPr>
                <w:rFonts w:ascii="Garamond" w:hAnsi="Garamond"/>
              </w:rPr>
              <w:t>specif</w:t>
            </w:r>
            <w:r>
              <w:rPr>
                <w:rFonts w:ascii="Garamond" w:hAnsi="Garamond"/>
              </w:rPr>
              <w:t>y</w:t>
            </w:r>
            <w:r w:rsidRPr="00A123EB">
              <w:rPr>
                <w:rFonts w:ascii="Garamond" w:hAnsi="Garamond"/>
              </w:rPr>
              <w:t xml:space="preserve"> that no limitation of liability exists in case of breach of confidentiality </w:t>
            </w:r>
            <w:r>
              <w:rPr>
                <w:rFonts w:ascii="Garamond" w:hAnsi="Garamond"/>
              </w:rPr>
              <w:t xml:space="preserve">or </w:t>
            </w:r>
            <w:r w:rsidRPr="00A123EB">
              <w:rPr>
                <w:rFonts w:ascii="Garamond" w:hAnsi="Garamond"/>
              </w:rPr>
              <w:t>data</w:t>
            </w:r>
            <w:r>
              <w:rPr>
                <w:rFonts w:ascii="Garamond" w:hAnsi="Garamond"/>
              </w:rPr>
              <w:t xml:space="preserve"> protection rules</w:t>
            </w:r>
            <w:r w:rsidRPr="00A123EB">
              <w:rPr>
                <w:rFonts w:ascii="Garamond" w:hAnsi="Garamond"/>
              </w:rPr>
              <w:t>?</w:t>
            </w: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16 </w:t>
            </w:r>
          </w:p>
          <w:p w:rsidR="007041E9" w:rsidRDefault="007041E9" w:rsidP="004267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67"/>
        </w:trPr>
        <w:tc>
          <w:tcPr>
            <w:tcW w:w="3816" w:type="dxa"/>
          </w:tcPr>
          <w:p w:rsidR="007041E9" w:rsidRPr="00537807" w:rsidRDefault="007041E9" w:rsidP="00537807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b/>
              </w:rPr>
            </w:pPr>
            <w:r w:rsidRPr="00537807">
              <w:rPr>
                <w:rFonts w:ascii="Garamond" w:hAnsi="Garamond"/>
                <w:b/>
              </w:rPr>
              <w:t xml:space="preserve">Termination of the Contract </w:t>
            </w:r>
          </w:p>
          <w:p w:rsidR="007041E9" w:rsidRPr="00FF28FF" w:rsidRDefault="007041E9" w:rsidP="00427B15">
            <w:pPr>
              <w:pStyle w:val="ListParagraph"/>
              <w:ind w:left="1026" w:hanging="284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739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30"/>
              </w:numPr>
              <w:ind w:left="1026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Does the contract lay down terms regarding its termination</w:t>
            </w:r>
            <w:r w:rsidRPr="00504148">
              <w:rPr>
                <w:rFonts w:ascii="Garamond" w:hAnsi="Garamond"/>
              </w:rPr>
              <w:t>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17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297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30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</w:t>
            </w:r>
            <w:r w:rsidRPr="00E1497D">
              <w:rPr>
                <w:rFonts w:ascii="Garamond" w:hAnsi="Garamond"/>
              </w:rPr>
              <w:t>ase of termination: does the contract require the terminating party to notify the Commission?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 17 (1)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Del="00D2299C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330"/>
        </w:trPr>
        <w:tc>
          <w:tcPr>
            <w:tcW w:w="3816" w:type="dxa"/>
          </w:tcPr>
          <w:p w:rsidR="007041E9" w:rsidRPr="00D2299C" w:rsidRDefault="007041E9" w:rsidP="00FD498F">
            <w:pPr>
              <w:pStyle w:val="ListParagraph"/>
              <w:numPr>
                <w:ilvl w:val="0"/>
                <w:numId w:val="30"/>
              </w:numPr>
              <w:ind w:left="1026" w:hanging="284"/>
            </w:pPr>
            <w:r>
              <w:rPr>
                <w:rFonts w:ascii="Garamond" w:hAnsi="Garamond"/>
              </w:rPr>
              <w:t>Does the contract require parties to provide a minimum</w:t>
            </w:r>
            <w:r w:rsidRPr="00E1497D">
              <w:rPr>
                <w:rFonts w:ascii="Garamond" w:hAnsi="Garamond"/>
              </w:rPr>
              <w:t xml:space="preserve"> notice period of 5 months (prior </w:t>
            </w:r>
            <w:r>
              <w:rPr>
                <w:rFonts w:ascii="Garamond" w:hAnsi="Garamond"/>
              </w:rPr>
              <w:t xml:space="preserve">to </w:t>
            </w:r>
            <w:r w:rsidRPr="00E1497D">
              <w:rPr>
                <w:rFonts w:ascii="Garamond" w:hAnsi="Garamond"/>
              </w:rPr>
              <w:t>termination</w:t>
            </w:r>
            <w:r>
              <w:rPr>
                <w:rFonts w:ascii="Garamond" w:hAnsi="Garamond"/>
              </w:rPr>
              <w:t xml:space="preserve"> of the contract</w:t>
            </w:r>
            <w:r w:rsidRPr="00E1497D">
              <w:rPr>
                <w:rFonts w:ascii="Garamond" w:hAnsi="Garamond"/>
              </w:rPr>
              <w:t>)?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 17 (2)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 w:rsidDel="00F873FB">
              <w:rPr>
                <w:rFonts w:ascii="Garamond" w:hAnsi="Garamond"/>
              </w:rPr>
              <w:t xml:space="preserve">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129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30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require manufacturers and importers to terminate the contract immediately:</w:t>
            </w:r>
          </w:p>
        </w:tc>
        <w:tc>
          <w:tcPr>
            <w:tcW w:w="1933" w:type="dxa"/>
          </w:tcPr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 17 (2) (a) &amp; (b) 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857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(a) in the event of a serious breach by the providers of its obligations;</w:t>
            </w:r>
          </w:p>
        </w:tc>
        <w:tc>
          <w:tcPr>
            <w:tcW w:w="1933" w:type="dxa"/>
          </w:tcPr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F873FB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5111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ind w:left="1026" w:hanging="284"/>
              <w:rPr>
                <w:rFonts w:ascii="Garamond" w:hAnsi="Garamond"/>
              </w:rPr>
            </w:pPr>
          </w:p>
          <w:p w:rsidR="007041E9" w:rsidRDefault="007041E9" w:rsidP="00427B15">
            <w:pPr>
              <w:pStyle w:val="ListParagraph"/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(b) </w:t>
            </w:r>
            <w:proofErr w:type="gramStart"/>
            <w:r>
              <w:rPr>
                <w:rFonts w:ascii="Garamond" w:hAnsi="Garamond"/>
              </w:rPr>
              <w:t>where</w:t>
            </w:r>
            <w:proofErr w:type="gramEnd"/>
            <w:r>
              <w:rPr>
                <w:rFonts w:ascii="Garamond" w:hAnsi="Garamond"/>
              </w:rPr>
              <w:t xml:space="preserve"> the provider becomes or is in imminent risk of becoming insolvent.</w:t>
            </w:r>
          </w:p>
        </w:tc>
        <w:tc>
          <w:tcPr>
            <w:tcW w:w="1933" w:type="dxa"/>
          </w:tcPr>
          <w:p w:rsidR="007041E9" w:rsidRDefault="007041E9" w:rsidP="00E329D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15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537807">
              <w:rPr>
                <w:rFonts w:ascii="Garamond" w:hAnsi="Garamond"/>
                <w:b/>
              </w:rPr>
              <w:t xml:space="preserve">Suspension of </w:t>
            </w:r>
            <w:r>
              <w:rPr>
                <w:rFonts w:ascii="Garamond" w:hAnsi="Garamond"/>
                <w:b/>
              </w:rPr>
              <w:t xml:space="preserve"> Services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374"/>
        </w:trPr>
        <w:tc>
          <w:tcPr>
            <w:tcW w:w="3816" w:type="dxa"/>
          </w:tcPr>
          <w:p w:rsidR="007041E9" w:rsidRPr="00537807" w:rsidRDefault="007041E9" w:rsidP="008B02DE">
            <w:pPr>
              <w:pStyle w:val="ListParagraph"/>
              <w:numPr>
                <w:ilvl w:val="0"/>
                <w:numId w:val="34"/>
              </w:numPr>
              <w:ind w:left="1026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Does the contract specify that in case of late payment by a manufacturer or importer suspension of services by the provider is prohibited (unless it has expired by 30 days or more)?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18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Delegated Regulation 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54"/>
        </w:trPr>
        <w:tc>
          <w:tcPr>
            <w:tcW w:w="3816" w:type="dxa"/>
          </w:tcPr>
          <w:p w:rsidR="007041E9" w:rsidRPr="00FD498F" w:rsidRDefault="007041E9" w:rsidP="00FD498F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E73553">
              <w:rPr>
                <w:rFonts w:ascii="Garamond" w:hAnsi="Garamond"/>
                <w:b/>
              </w:rPr>
              <w:t xml:space="preserve">Data Portability 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Pr="00E73553" w:rsidRDefault="007041E9" w:rsidP="004267A4">
            <w:pPr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972"/>
        </w:trPr>
        <w:tc>
          <w:tcPr>
            <w:tcW w:w="3816" w:type="dxa"/>
          </w:tcPr>
          <w:p w:rsidR="007041E9" w:rsidRDefault="007041E9" w:rsidP="00427B15">
            <w:pPr>
              <w:pStyle w:val="ListParagraph"/>
              <w:numPr>
                <w:ilvl w:val="0"/>
                <w:numId w:val="3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ensure full data portability in case the manufacturer or importer contracts a new primary storage provider?</w:t>
            </w:r>
          </w:p>
          <w:p w:rsidR="007041E9" w:rsidRPr="00E73553" w:rsidRDefault="007041E9" w:rsidP="00FD498F">
            <w:pPr>
              <w:pStyle w:val="ListParagraph"/>
              <w:ind w:left="1026"/>
              <w:rPr>
                <w:rFonts w:ascii="Garamond" w:hAnsi="Garamond"/>
                <w:b/>
              </w:rPr>
            </w:pP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19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728"/>
        </w:trPr>
        <w:tc>
          <w:tcPr>
            <w:tcW w:w="3816" w:type="dxa"/>
          </w:tcPr>
          <w:p w:rsidR="007041E9" w:rsidRPr="00FD498F" w:rsidRDefault="007041E9" w:rsidP="00FD498F">
            <w:pPr>
              <w:rPr>
                <w:rFonts w:ascii="Garamond" w:hAnsi="Garamond"/>
              </w:rPr>
            </w:pPr>
          </w:p>
          <w:p w:rsidR="007041E9" w:rsidRDefault="007041E9" w:rsidP="00427B15">
            <w:pPr>
              <w:pStyle w:val="ListParagraph"/>
              <w:numPr>
                <w:ilvl w:val="0"/>
                <w:numId w:val="3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include an Applicable Exit Plan?</w:t>
            </w:r>
            <w:r w:rsidR="001504F8">
              <w:rPr>
                <w:rFonts w:ascii="Garamond" w:hAnsi="Garamond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19 (2)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  <w:r w:rsidDel="004267A4">
              <w:rPr>
                <w:rFonts w:ascii="Garamond" w:hAnsi="Garamond"/>
              </w:rPr>
              <w:t xml:space="preserve"> </w:t>
            </w:r>
          </w:p>
          <w:p w:rsidR="007041E9" w:rsidDel="00D2299C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2421"/>
        </w:trPr>
        <w:tc>
          <w:tcPr>
            <w:tcW w:w="3816" w:type="dxa"/>
          </w:tcPr>
          <w:p w:rsidR="007041E9" w:rsidRDefault="007041E9" w:rsidP="004267A4">
            <w:pPr>
              <w:pStyle w:val="ListParagraph"/>
              <w:ind w:left="1440"/>
              <w:rPr>
                <w:rFonts w:ascii="Garamond" w:hAnsi="Garamond"/>
              </w:rPr>
            </w:pPr>
          </w:p>
          <w:p w:rsidR="007041E9" w:rsidRPr="00FD498F" w:rsidRDefault="007041E9" w:rsidP="00D2299C">
            <w:pPr>
              <w:pStyle w:val="ListParagraph"/>
              <w:numPr>
                <w:ilvl w:val="0"/>
                <w:numId w:val="3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Exit Plan include a requirement for the current </w:t>
            </w:r>
            <w:r w:rsidRPr="00FD498F">
              <w:rPr>
                <w:rFonts w:ascii="Garamond" w:hAnsi="Garamond"/>
              </w:rPr>
              <w:t>provider to continue providing its services until the new provider is operational?</w:t>
            </w:r>
          </w:p>
          <w:p w:rsidR="007041E9" w:rsidRDefault="007041E9" w:rsidP="00FD498F">
            <w:pPr>
              <w:pStyle w:val="ListParagraph"/>
              <w:ind w:left="1026"/>
              <w:rPr>
                <w:rFonts w:ascii="Garamond" w:hAnsi="Garamond"/>
              </w:rPr>
            </w:pPr>
          </w:p>
        </w:tc>
        <w:tc>
          <w:tcPr>
            <w:tcW w:w="1933" w:type="dxa"/>
          </w:tcPr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19 (2)</w:t>
            </w:r>
          </w:p>
          <w:p w:rsidR="007041E9" w:rsidRDefault="007041E9" w:rsidP="00D229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  <w:r w:rsidDel="004267A4">
              <w:rPr>
                <w:rFonts w:ascii="Garamond" w:hAnsi="Garamond"/>
              </w:rPr>
              <w:t xml:space="preserve"> </w:t>
            </w: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4735"/>
        </w:trPr>
        <w:tc>
          <w:tcPr>
            <w:tcW w:w="3816" w:type="dxa"/>
          </w:tcPr>
          <w:p w:rsidR="007041E9" w:rsidRDefault="007041E9" w:rsidP="00FD498F"/>
          <w:p w:rsidR="007041E9" w:rsidRDefault="007041E9" w:rsidP="00427B15">
            <w:pPr>
              <w:pStyle w:val="ListParagraph"/>
              <w:numPr>
                <w:ilvl w:val="0"/>
                <w:numId w:val="34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contract provide provisions ensuring that the current provider has no right of retention of data, information or other after delivery to new provider?</w:t>
            </w:r>
          </w:p>
        </w:tc>
        <w:tc>
          <w:tcPr>
            <w:tcW w:w="1933" w:type="dxa"/>
          </w:tcPr>
          <w:p w:rsidR="007041E9" w:rsidRDefault="007041E9" w:rsidP="00E73553">
            <w:pPr>
              <w:rPr>
                <w:rFonts w:ascii="Garamond" w:hAnsi="Garamond"/>
              </w:rPr>
            </w:pPr>
          </w:p>
          <w:p w:rsidR="007041E9" w:rsidRDefault="007041E9" w:rsidP="004267A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19 (3)</w:t>
            </w:r>
          </w:p>
          <w:p w:rsidR="007041E9" w:rsidRDefault="007041E9" w:rsidP="004267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  <w:r w:rsidDel="004267A4">
              <w:rPr>
                <w:rFonts w:ascii="Garamond" w:hAnsi="Garamond"/>
              </w:rPr>
              <w:t xml:space="preserve"> </w:t>
            </w: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  <w:tr w:rsidR="007041E9" w:rsidTr="007041E9">
        <w:trPr>
          <w:trHeight w:val="1605"/>
        </w:trPr>
        <w:tc>
          <w:tcPr>
            <w:tcW w:w="3816" w:type="dxa"/>
          </w:tcPr>
          <w:p w:rsidR="007041E9" w:rsidRPr="00A17B53" w:rsidRDefault="007041E9" w:rsidP="003A56B8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b/>
              </w:rPr>
            </w:pPr>
            <w:r w:rsidRPr="00A17B53">
              <w:rPr>
                <w:rFonts w:ascii="Garamond" w:hAnsi="Garamond"/>
                <w:b/>
              </w:rPr>
              <w:t>Applicable Law and Jurisdiction</w:t>
            </w:r>
          </w:p>
          <w:p w:rsidR="007041E9" w:rsidRDefault="007041E9" w:rsidP="003A56B8">
            <w:pPr>
              <w:pStyle w:val="ListParagraph"/>
              <w:rPr>
                <w:rFonts w:ascii="Garamond" w:hAnsi="Garamond"/>
              </w:rPr>
            </w:pPr>
          </w:p>
          <w:p w:rsidR="007041E9" w:rsidRPr="00A17B53" w:rsidRDefault="007041E9" w:rsidP="008B02DE">
            <w:pPr>
              <w:pStyle w:val="ListParagraph"/>
              <w:numPr>
                <w:ilvl w:val="0"/>
                <w:numId w:val="35"/>
              </w:numPr>
              <w:ind w:left="1026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contract governed by the law of one of the MS?</w:t>
            </w:r>
          </w:p>
        </w:tc>
        <w:tc>
          <w:tcPr>
            <w:tcW w:w="1933" w:type="dxa"/>
          </w:tcPr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20 (1)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Delegated Regulation</w:t>
            </w:r>
          </w:p>
          <w:p w:rsidR="007041E9" w:rsidRDefault="007041E9" w:rsidP="0028204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51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  <w:tc>
          <w:tcPr>
            <w:tcW w:w="2614" w:type="dxa"/>
          </w:tcPr>
          <w:p w:rsidR="007041E9" w:rsidRPr="00282047" w:rsidRDefault="007041E9">
            <w:pPr>
              <w:rPr>
                <w:rFonts w:ascii="Garamond" w:hAnsi="Garamond"/>
              </w:rPr>
            </w:pPr>
          </w:p>
        </w:tc>
      </w:tr>
    </w:tbl>
    <w:p w:rsidR="009B58B9" w:rsidRDefault="001504F8"/>
    <w:p w:rsidR="003E5A02" w:rsidRDefault="003E5A02"/>
    <w:p w:rsidR="003E5A02" w:rsidRPr="003E5A02" w:rsidRDefault="003E5A02">
      <w:pPr>
        <w:rPr>
          <w:rFonts w:ascii="Garamond" w:hAnsi="Garamond"/>
        </w:rPr>
      </w:pPr>
    </w:p>
    <w:sectPr w:rsidR="003E5A02" w:rsidRPr="003E5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EE" w:rsidRDefault="00E077EE" w:rsidP="001542DA">
      <w:pPr>
        <w:spacing w:after="0" w:line="240" w:lineRule="auto"/>
      </w:pPr>
      <w:r>
        <w:separator/>
      </w:r>
    </w:p>
  </w:endnote>
  <w:endnote w:type="continuationSeparator" w:id="0">
    <w:p w:rsidR="00E077EE" w:rsidRDefault="00E077EE" w:rsidP="0015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8" w:rsidRDefault="00150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646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2DA" w:rsidRDefault="0015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4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42DA" w:rsidRDefault="00154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8" w:rsidRDefault="00150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EE" w:rsidRDefault="00E077EE" w:rsidP="001542DA">
      <w:pPr>
        <w:spacing w:after="0" w:line="240" w:lineRule="auto"/>
      </w:pPr>
      <w:r>
        <w:separator/>
      </w:r>
    </w:p>
  </w:footnote>
  <w:footnote w:type="continuationSeparator" w:id="0">
    <w:p w:rsidR="00E077EE" w:rsidRDefault="00E077EE" w:rsidP="0015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8" w:rsidRDefault="00150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F8" w:rsidRDefault="001148F8">
    <w:pPr>
      <w:pStyle w:val="Header"/>
    </w:pPr>
  </w:p>
  <w:p w:rsidR="001148F8" w:rsidRDefault="001148F8">
    <w:pPr>
      <w:pStyle w:val="Header"/>
    </w:pPr>
  </w:p>
  <w:p w:rsidR="001148F8" w:rsidRDefault="001148F8">
    <w:pPr>
      <w:pStyle w:val="Header"/>
    </w:pPr>
  </w:p>
  <w:p w:rsidR="001148F8" w:rsidRDefault="001148F8">
    <w:pPr>
      <w:pStyle w:val="Header"/>
    </w:pPr>
  </w:p>
  <w:p w:rsidR="001148F8" w:rsidRPr="005055E4" w:rsidRDefault="001148F8" w:rsidP="005055E4">
    <w:pPr>
      <w:pStyle w:val="Header"/>
      <w:jc w:val="center"/>
      <w:rPr>
        <w:rFonts w:ascii="Garamond" w:hAnsi="Garamond" w:cs="Times New Roman"/>
        <w:sz w:val="28"/>
        <w:szCs w:val="28"/>
      </w:rPr>
    </w:pPr>
    <w:r w:rsidRPr="005055E4">
      <w:rPr>
        <w:rFonts w:ascii="Garamond" w:hAnsi="Garamond" w:cs="Times New Roman"/>
        <w:sz w:val="28"/>
        <w:szCs w:val="28"/>
      </w:rPr>
      <w:t>CORRESPONDANCE TABLE</w:t>
    </w:r>
  </w:p>
  <w:p w:rsidR="001148F8" w:rsidRDefault="001148F8">
    <w:pPr>
      <w:pStyle w:val="Header"/>
    </w:pPr>
  </w:p>
  <w:p w:rsidR="001148F8" w:rsidRDefault="001148F8">
    <w:pPr>
      <w:pStyle w:val="Header"/>
    </w:pPr>
  </w:p>
  <w:p w:rsidR="001148F8" w:rsidRDefault="00114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8" w:rsidRDefault="00150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9D3"/>
    <w:multiLevelType w:val="hybridMultilevel"/>
    <w:tmpl w:val="D194B86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F320AA"/>
    <w:multiLevelType w:val="hybridMultilevel"/>
    <w:tmpl w:val="A844D2F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8008D"/>
    <w:multiLevelType w:val="hybridMultilevel"/>
    <w:tmpl w:val="BB6E1F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46C7F"/>
    <w:multiLevelType w:val="hybridMultilevel"/>
    <w:tmpl w:val="D174FE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3183D"/>
    <w:multiLevelType w:val="hybridMultilevel"/>
    <w:tmpl w:val="05DC2F3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57546"/>
    <w:multiLevelType w:val="hybridMultilevel"/>
    <w:tmpl w:val="AD669AD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390F40"/>
    <w:multiLevelType w:val="hybridMultilevel"/>
    <w:tmpl w:val="5BE243E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E3965"/>
    <w:multiLevelType w:val="hybridMultilevel"/>
    <w:tmpl w:val="3294B4A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6C3966"/>
    <w:multiLevelType w:val="hybridMultilevel"/>
    <w:tmpl w:val="2EC2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49C8"/>
    <w:multiLevelType w:val="hybridMultilevel"/>
    <w:tmpl w:val="C360B6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461FA"/>
    <w:multiLevelType w:val="hybridMultilevel"/>
    <w:tmpl w:val="972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7912"/>
    <w:multiLevelType w:val="hybridMultilevel"/>
    <w:tmpl w:val="9E1E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14A0"/>
    <w:multiLevelType w:val="hybridMultilevel"/>
    <w:tmpl w:val="E2A6A48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F6D2571"/>
    <w:multiLevelType w:val="hybridMultilevel"/>
    <w:tmpl w:val="1EC830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81DE3"/>
    <w:multiLevelType w:val="hybridMultilevel"/>
    <w:tmpl w:val="F4726C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350BF"/>
    <w:multiLevelType w:val="hybridMultilevel"/>
    <w:tmpl w:val="0C6011A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A10C6"/>
    <w:multiLevelType w:val="hybridMultilevel"/>
    <w:tmpl w:val="3984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90DA3"/>
    <w:multiLevelType w:val="hybridMultilevel"/>
    <w:tmpl w:val="05A01F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45201"/>
    <w:multiLevelType w:val="hybridMultilevel"/>
    <w:tmpl w:val="80EE9F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E1258"/>
    <w:multiLevelType w:val="hybridMultilevel"/>
    <w:tmpl w:val="CA7EC08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703CB5"/>
    <w:multiLevelType w:val="hybridMultilevel"/>
    <w:tmpl w:val="13BC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B01"/>
    <w:multiLevelType w:val="hybridMultilevel"/>
    <w:tmpl w:val="8FA656C8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574146E"/>
    <w:multiLevelType w:val="hybridMultilevel"/>
    <w:tmpl w:val="F9280C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95BA7"/>
    <w:multiLevelType w:val="hybridMultilevel"/>
    <w:tmpl w:val="A27292A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87A15C5"/>
    <w:multiLevelType w:val="hybridMultilevel"/>
    <w:tmpl w:val="98BAAD8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E27A7"/>
    <w:multiLevelType w:val="hybridMultilevel"/>
    <w:tmpl w:val="E5CEA3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19FC"/>
    <w:multiLevelType w:val="hybridMultilevel"/>
    <w:tmpl w:val="0A6411D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AF7BCB"/>
    <w:multiLevelType w:val="hybridMultilevel"/>
    <w:tmpl w:val="5972E20C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20F233B"/>
    <w:multiLevelType w:val="hybridMultilevel"/>
    <w:tmpl w:val="8F809486"/>
    <w:lvl w:ilvl="0" w:tplc="08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641F567A"/>
    <w:multiLevelType w:val="hybridMultilevel"/>
    <w:tmpl w:val="58CA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26577"/>
    <w:multiLevelType w:val="hybridMultilevel"/>
    <w:tmpl w:val="994807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E26505"/>
    <w:multiLevelType w:val="hybridMultilevel"/>
    <w:tmpl w:val="912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A3495"/>
    <w:multiLevelType w:val="hybridMultilevel"/>
    <w:tmpl w:val="E7B00D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71542D"/>
    <w:multiLevelType w:val="hybridMultilevel"/>
    <w:tmpl w:val="F4420E2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C1815"/>
    <w:multiLevelType w:val="hybridMultilevel"/>
    <w:tmpl w:val="2D42C94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48404B"/>
    <w:multiLevelType w:val="hybridMultilevel"/>
    <w:tmpl w:val="5B88C82A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EC809E3"/>
    <w:multiLevelType w:val="hybridMultilevel"/>
    <w:tmpl w:val="1312DA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FD72D37"/>
    <w:multiLevelType w:val="hybridMultilevel"/>
    <w:tmpl w:val="833E64E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4"/>
  </w:num>
  <w:num w:numId="5">
    <w:abstractNumId w:val="2"/>
  </w:num>
  <w:num w:numId="6">
    <w:abstractNumId w:val="19"/>
  </w:num>
  <w:num w:numId="7">
    <w:abstractNumId w:val="11"/>
  </w:num>
  <w:num w:numId="8">
    <w:abstractNumId w:val="17"/>
  </w:num>
  <w:num w:numId="9">
    <w:abstractNumId w:val="14"/>
  </w:num>
  <w:num w:numId="10">
    <w:abstractNumId w:val="23"/>
  </w:num>
  <w:num w:numId="11">
    <w:abstractNumId w:val="15"/>
  </w:num>
  <w:num w:numId="12">
    <w:abstractNumId w:val="5"/>
  </w:num>
  <w:num w:numId="13">
    <w:abstractNumId w:val="22"/>
  </w:num>
  <w:num w:numId="14">
    <w:abstractNumId w:val="27"/>
  </w:num>
  <w:num w:numId="15">
    <w:abstractNumId w:val="10"/>
  </w:num>
  <w:num w:numId="16">
    <w:abstractNumId w:val="12"/>
  </w:num>
  <w:num w:numId="17">
    <w:abstractNumId w:val="0"/>
  </w:num>
  <w:num w:numId="18">
    <w:abstractNumId w:val="9"/>
  </w:num>
  <w:num w:numId="19">
    <w:abstractNumId w:val="21"/>
  </w:num>
  <w:num w:numId="20">
    <w:abstractNumId w:val="24"/>
  </w:num>
  <w:num w:numId="21">
    <w:abstractNumId w:val="32"/>
  </w:num>
  <w:num w:numId="22">
    <w:abstractNumId w:val="33"/>
  </w:num>
  <w:num w:numId="23">
    <w:abstractNumId w:val="26"/>
  </w:num>
  <w:num w:numId="24">
    <w:abstractNumId w:val="28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29"/>
  </w:num>
  <w:num w:numId="30">
    <w:abstractNumId w:val="6"/>
  </w:num>
  <w:num w:numId="31">
    <w:abstractNumId w:val="35"/>
  </w:num>
  <w:num w:numId="32">
    <w:abstractNumId w:val="18"/>
  </w:num>
  <w:num w:numId="33">
    <w:abstractNumId w:val="7"/>
  </w:num>
  <w:num w:numId="34">
    <w:abstractNumId w:val="3"/>
  </w:num>
  <w:num w:numId="35">
    <w:abstractNumId w:val="37"/>
  </w:num>
  <w:num w:numId="36">
    <w:abstractNumId w:val="16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D52A0"/>
    <w:rsid w:val="000D36DE"/>
    <w:rsid w:val="000D3D90"/>
    <w:rsid w:val="001148F8"/>
    <w:rsid w:val="0012462D"/>
    <w:rsid w:val="00142D67"/>
    <w:rsid w:val="001504F8"/>
    <w:rsid w:val="001542DA"/>
    <w:rsid w:val="0019519A"/>
    <w:rsid w:val="001C7C54"/>
    <w:rsid w:val="001D52A0"/>
    <w:rsid w:val="001E2CD4"/>
    <w:rsid w:val="00206064"/>
    <w:rsid w:val="002664FF"/>
    <w:rsid w:val="00282047"/>
    <w:rsid w:val="002C1BFB"/>
    <w:rsid w:val="002C3D38"/>
    <w:rsid w:val="002C57BA"/>
    <w:rsid w:val="002F6A56"/>
    <w:rsid w:val="00303355"/>
    <w:rsid w:val="00333ACF"/>
    <w:rsid w:val="0034172D"/>
    <w:rsid w:val="00362181"/>
    <w:rsid w:val="00380DD8"/>
    <w:rsid w:val="003A3478"/>
    <w:rsid w:val="003A56B8"/>
    <w:rsid w:val="003E5A02"/>
    <w:rsid w:val="004267A4"/>
    <w:rsid w:val="00427B15"/>
    <w:rsid w:val="00447595"/>
    <w:rsid w:val="0047111F"/>
    <w:rsid w:val="00486DC3"/>
    <w:rsid w:val="004E1C39"/>
    <w:rsid w:val="005055E4"/>
    <w:rsid w:val="005129A6"/>
    <w:rsid w:val="00537807"/>
    <w:rsid w:val="00554BF4"/>
    <w:rsid w:val="0059487E"/>
    <w:rsid w:val="00604BDA"/>
    <w:rsid w:val="0060600B"/>
    <w:rsid w:val="0065729D"/>
    <w:rsid w:val="006F1C40"/>
    <w:rsid w:val="007041E9"/>
    <w:rsid w:val="00753F8E"/>
    <w:rsid w:val="007B0E4A"/>
    <w:rsid w:val="008311A7"/>
    <w:rsid w:val="00862FEE"/>
    <w:rsid w:val="008947B0"/>
    <w:rsid w:val="008B02DE"/>
    <w:rsid w:val="009453B4"/>
    <w:rsid w:val="00951E85"/>
    <w:rsid w:val="009D5E43"/>
    <w:rsid w:val="00A123EB"/>
    <w:rsid w:val="00A170DB"/>
    <w:rsid w:val="00A17B53"/>
    <w:rsid w:val="00A72B4A"/>
    <w:rsid w:val="00AD3B84"/>
    <w:rsid w:val="00B40B13"/>
    <w:rsid w:val="00B92971"/>
    <w:rsid w:val="00B96D87"/>
    <w:rsid w:val="00BB3611"/>
    <w:rsid w:val="00BE47E1"/>
    <w:rsid w:val="00C65C27"/>
    <w:rsid w:val="00CB5275"/>
    <w:rsid w:val="00CD7B2F"/>
    <w:rsid w:val="00D2299C"/>
    <w:rsid w:val="00D24458"/>
    <w:rsid w:val="00D41995"/>
    <w:rsid w:val="00D505DF"/>
    <w:rsid w:val="00D6533D"/>
    <w:rsid w:val="00DA7838"/>
    <w:rsid w:val="00DC6B8B"/>
    <w:rsid w:val="00DD1FDE"/>
    <w:rsid w:val="00E077EE"/>
    <w:rsid w:val="00E10371"/>
    <w:rsid w:val="00E329DF"/>
    <w:rsid w:val="00E47529"/>
    <w:rsid w:val="00E55A3B"/>
    <w:rsid w:val="00E70FE1"/>
    <w:rsid w:val="00E73553"/>
    <w:rsid w:val="00E95E1A"/>
    <w:rsid w:val="00EB39E6"/>
    <w:rsid w:val="00F873FB"/>
    <w:rsid w:val="00FD489B"/>
    <w:rsid w:val="00FD498F"/>
    <w:rsid w:val="00FD6A75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DA"/>
  </w:style>
  <w:style w:type="paragraph" w:styleId="Footer">
    <w:name w:val="footer"/>
    <w:basedOn w:val="Normal"/>
    <w:link w:val="FooterChar"/>
    <w:uiPriority w:val="99"/>
    <w:unhideWhenUsed/>
    <w:rsid w:val="0015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DA"/>
  </w:style>
  <w:style w:type="paragraph" w:styleId="BalloonText">
    <w:name w:val="Balloon Text"/>
    <w:basedOn w:val="Normal"/>
    <w:link w:val="BalloonTextChar"/>
    <w:uiPriority w:val="99"/>
    <w:semiHidden/>
    <w:unhideWhenUsed/>
    <w:rsid w:val="0036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DA"/>
  </w:style>
  <w:style w:type="paragraph" w:styleId="Footer">
    <w:name w:val="footer"/>
    <w:basedOn w:val="Normal"/>
    <w:link w:val="FooterChar"/>
    <w:uiPriority w:val="99"/>
    <w:unhideWhenUsed/>
    <w:rsid w:val="0015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DA"/>
  </w:style>
  <w:style w:type="paragraph" w:styleId="BalloonText">
    <w:name w:val="Balloon Text"/>
    <w:basedOn w:val="Normal"/>
    <w:link w:val="BalloonTextChar"/>
    <w:uiPriority w:val="99"/>
    <w:semiHidden/>
    <w:unhideWhenUsed/>
    <w:rsid w:val="0036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7C11-F921-40E6-B25A-A330504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971</Words>
  <Characters>5496</Characters>
  <Application>Microsoft Office Word</Application>
  <DocSecurity>0</DocSecurity>
  <Lines>152</Lines>
  <Paragraphs>56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2018-04-18T14:29:00Z</dcterms:created>
  <dcterms:modified xsi:type="dcterms:W3CDTF">2018-04-18T14:30:00Z</dcterms:modified>
</cp:coreProperties>
</file>