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C96C6" w14:textId="28237EC2" w:rsidR="0067610E" w:rsidRDefault="006E4460">
      <w:pPr>
        <w:pStyle w:val="RefAgency"/>
        <w:tabs>
          <w:tab w:val="left" w:pos="1277"/>
        </w:tabs>
      </w:pPr>
      <w:bookmarkStart w:id="0" w:name="_GoBack"/>
      <w:bookmarkEnd w:id="0"/>
      <w:r>
        <w:t>22/09/2016</w:t>
      </w:r>
    </w:p>
    <w:p w14:paraId="5B411500" w14:textId="77777777" w:rsidR="0067610E" w:rsidRDefault="0067610E">
      <w:pPr>
        <w:pStyle w:val="RefAgency"/>
        <w:tabs>
          <w:tab w:val="left" w:pos="1277"/>
        </w:tabs>
      </w:pPr>
    </w:p>
    <w:p w14:paraId="6ACF9091" w14:textId="77777777" w:rsidR="0067610E" w:rsidRPr="00B822FC" w:rsidRDefault="0067610E">
      <w:pPr>
        <w:pStyle w:val="RefAgency"/>
        <w:tabs>
          <w:tab w:val="left" w:pos="1277"/>
        </w:tabs>
      </w:pPr>
    </w:p>
    <w:p w14:paraId="37E9F646" w14:textId="77777777" w:rsidR="0067610E" w:rsidRDefault="0067610E">
      <w:pPr>
        <w:pStyle w:val="DoctitleAgency"/>
      </w:pPr>
      <w:bookmarkStart w:id="1" w:name="Head"/>
      <w:bookmarkEnd w:id="1"/>
      <w:r w:rsidRPr="00F308FD">
        <w:t>Submission of comments on</w:t>
      </w:r>
      <w:r>
        <w:t xml:space="preserve"> '</w:t>
      </w:r>
      <w:r w:rsidR="00EF3666">
        <w:t xml:space="preserve">Good </w:t>
      </w:r>
      <w:r w:rsidR="00422A94">
        <w:t>M</w:t>
      </w:r>
      <w:r w:rsidR="00EF3666">
        <w:t>anufacturing Practice for Advanced Therapy Medicinal Products</w:t>
      </w:r>
      <w:r>
        <w:t xml:space="preserve">' </w:t>
      </w:r>
    </w:p>
    <w:p w14:paraId="2599AEFA" w14:textId="77777777" w:rsidR="0067610E" w:rsidRDefault="0067610E">
      <w:pPr>
        <w:pStyle w:val="DocsubtitleAgency"/>
      </w:pPr>
    </w:p>
    <w:p w14:paraId="13DA749B" w14:textId="77777777" w:rsidR="0067610E" w:rsidRPr="00B822FC" w:rsidRDefault="0067610E">
      <w:pPr>
        <w:pStyle w:val="No-TOCheadingAgency"/>
      </w:pPr>
      <w:r w:rsidRPr="00B822FC">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67610E" w:rsidRPr="00FC77C1" w14:paraId="36A05CEB" w14:textId="77777777" w:rsidTr="0067610E">
        <w:trPr>
          <w:tblHeader/>
        </w:trPr>
        <w:tc>
          <w:tcPr>
            <w:tcW w:w="5000" w:type="pct"/>
            <w:tcBorders>
              <w:top w:val="nil"/>
              <w:left w:val="nil"/>
              <w:bottom w:val="nil"/>
              <w:right w:val="nil"/>
              <w:tl2br w:val="nil"/>
              <w:tr2bl w:val="nil"/>
            </w:tcBorders>
            <w:shd w:val="clear" w:color="auto" w:fill="003399"/>
          </w:tcPr>
          <w:p w14:paraId="3EB8123C" w14:textId="77777777" w:rsidR="0067610E" w:rsidRPr="00FC77C1" w:rsidRDefault="0067610E">
            <w:pPr>
              <w:pStyle w:val="TableheadingrowsAgency"/>
              <w:rPr>
                <w:b w:val="0"/>
              </w:rPr>
            </w:pPr>
            <w:r>
              <w:rPr>
                <w:b w:val="0"/>
              </w:rPr>
              <w:t>Name of o</w:t>
            </w:r>
            <w:r w:rsidRPr="00FC77C1">
              <w:rPr>
                <w:b w:val="0"/>
              </w:rPr>
              <w:t>rganisation or individual</w:t>
            </w:r>
          </w:p>
        </w:tc>
      </w:tr>
      <w:tr w:rsidR="0067610E" w:rsidRPr="00E40D46" w14:paraId="061F7DBF" w14:textId="77777777" w:rsidTr="0067610E">
        <w:tc>
          <w:tcPr>
            <w:tcW w:w="5000" w:type="pct"/>
            <w:shd w:val="clear" w:color="auto" w:fill="E1E3F2"/>
          </w:tcPr>
          <w:p w14:paraId="41196409" w14:textId="77777777" w:rsidR="0067610E" w:rsidRPr="00E40D46" w:rsidRDefault="00E40D46">
            <w:pPr>
              <w:pStyle w:val="TabletextrowsAgency"/>
              <w:rPr>
                <w:lang w:val="de-DE"/>
              </w:rPr>
            </w:pPr>
            <w:r w:rsidRPr="00E40D46">
              <w:rPr>
                <w:lang w:val="de-DE"/>
              </w:rPr>
              <w:t xml:space="preserve">Bundesverband der Pharmazeutischen Industrie </w:t>
            </w:r>
            <w:r>
              <w:rPr>
                <w:lang w:val="de-DE"/>
              </w:rPr>
              <w:t xml:space="preserve">(BPI </w:t>
            </w:r>
            <w:r w:rsidRPr="00E40D46">
              <w:rPr>
                <w:lang w:val="de-DE"/>
              </w:rPr>
              <w:t>e. V.</w:t>
            </w:r>
            <w:r>
              <w:rPr>
                <w:lang w:val="de-DE"/>
              </w:rPr>
              <w:t>)</w:t>
            </w:r>
            <w:r w:rsidRPr="00E40D46">
              <w:rPr>
                <w:lang w:val="de-DE"/>
              </w:rPr>
              <w:t xml:space="preserve"> </w:t>
            </w:r>
            <w:r>
              <w:rPr>
                <w:lang w:val="de-DE"/>
              </w:rPr>
              <w:t>– German Pharmaceutical Industry Association</w:t>
            </w:r>
          </w:p>
        </w:tc>
      </w:tr>
    </w:tbl>
    <w:p w14:paraId="0127BF03" w14:textId="77777777" w:rsidR="0067610E" w:rsidRDefault="0067610E">
      <w:pPr>
        <w:pStyle w:val="BodytextAgency"/>
        <w:rPr>
          <w:lang w:val="de-DE"/>
        </w:rPr>
      </w:pPr>
    </w:p>
    <w:p w14:paraId="74C29670" w14:textId="1F7DF603" w:rsidR="006E4460" w:rsidRPr="006E4460" w:rsidRDefault="006E4460">
      <w:pPr>
        <w:pStyle w:val="BodytextAgency"/>
        <w:rPr>
          <w:lang w:val="en-US"/>
        </w:rPr>
      </w:pPr>
      <w:r w:rsidRPr="006E4460">
        <w:rPr>
          <w:lang w:val="en-US"/>
        </w:rPr>
        <w:t>Transparency Register ID Number: 76399831150-89</w:t>
      </w:r>
    </w:p>
    <w:p w14:paraId="68124F34" w14:textId="77777777" w:rsidR="006E4460" w:rsidRPr="006E4460" w:rsidRDefault="006E4460">
      <w:pPr>
        <w:pStyle w:val="BodytextAgency"/>
        <w:rPr>
          <w:lang w:val="en-US"/>
        </w:rPr>
      </w:pPr>
    </w:p>
    <w:p w14:paraId="21757C26" w14:textId="77777777" w:rsidR="006E4460" w:rsidRPr="006E4460" w:rsidRDefault="006E4460">
      <w:pPr>
        <w:pStyle w:val="BodytextAgency"/>
        <w:rPr>
          <w:lang w:val="en-US"/>
        </w:rPr>
      </w:pPr>
    </w:p>
    <w:p w14:paraId="6CD79986" w14:textId="77777777" w:rsidR="0067610E" w:rsidRPr="00561BA0" w:rsidRDefault="0067610E">
      <w:pPr>
        <w:pStyle w:val="BodytextAgency"/>
        <w:rPr>
          <w:i/>
        </w:rPr>
      </w:pPr>
      <w:r w:rsidRPr="00561BA0">
        <w:rPr>
          <w:i/>
        </w:rPr>
        <w:t>Please note that these comments and the identity of the sender will be published unless a specific justified objection is received.</w:t>
      </w:r>
    </w:p>
    <w:p w14:paraId="262995CE" w14:textId="77777777" w:rsidR="0067610E" w:rsidRPr="00561BA0" w:rsidRDefault="0067610E">
      <w:pPr>
        <w:pStyle w:val="BodytextAgency"/>
        <w:rPr>
          <w:i/>
        </w:rPr>
      </w:pPr>
      <w:r>
        <w:rPr>
          <w:i/>
        </w:rPr>
        <w:t>When completed, this form should be sent</w:t>
      </w:r>
      <w:r w:rsidRPr="00561BA0">
        <w:rPr>
          <w:i/>
        </w:rPr>
        <w:t xml:space="preserve"> to the European Medicines Agency</w:t>
      </w:r>
      <w:r>
        <w:rPr>
          <w:i/>
        </w:rPr>
        <w:t xml:space="preserve"> electronically, in Word format (not PDF</w:t>
      </w:r>
      <w:r w:rsidRPr="00561BA0">
        <w:rPr>
          <w:i/>
        </w:rPr>
        <w:t>)</w:t>
      </w:r>
      <w:r>
        <w:rPr>
          <w:i/>
        </w:rPr>
        <w:t>.</w:t>
      </w:r>
    </w:p>
    <w:p w14:paraId="2464C30C" w14:textId="77777777" w:rsidR="0067610E" w:rsidRPr="00E43F9C" w:rsidRDefault="0067610E">
      <w:pPr>
        <w:pStyle w:val="BodytextAgency"/>
      </w:pPr>
    </w:p>
    <w:p w14:paraId="489B7A93" w14:textId="77777777" w:rsidR="0067610E" w:rsidRPr="00B822FC" w:rsidRDefault="0067610E">
      <w:pPr>
        <w:pStyle w:val="BodytextAgency"/>
      </w:pPr>
    </w:p>
    <w:p w14:paraId="0FBA43BB" w14:textId="77777777" w:rsidR="0067610E" w:rsidRPr="00B822FC" w:rsidRDefault="0067610E">
      <w:pPr>
        <w:pStyle w:val="BodytextAgency"/>
        <w:sectPr w:rsidR="0067610E" w:rsidRPr="00B822FC">
          <w:footerReference w:type="default" r:id="rId8"/>
          <w:headerReference w:type="first" r:id="rId9"/>
          <w:footerReference w:type="first" r:id="rId10"/>
          <w:pgSz w:w="11907" w:h="16839" w:code="9"/>
          <w:pgMar w:top="1418" w:right="1247" w:bottom="1418" w:left="1247" w:header="284" w:footer="680" w:gutter="0"/>
          <w:cols w:space="720"/>
          <w:titlePg/>
          <w:docGrid w:linePitch="326"/>
        </w:sectPr>
      </w:pPr>
    </w:p>
    <w:p w14:paraId="77C506BE" w14:textId="77777777" w:rsidR="0067610E" w:rsidRPr="00B822FC" w:rsidRDefault="0067610E">
      <w:pPr>
        <w:pStyle w:val="Heading1Agency"/>
      </w:pPr>
      <w:r w:rsidRPr="00B822FC">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67610E" w:rsidRPr="0067610E" w14:paraId="2F22D5D1" w14:textId="77777777" w:rsidTr="0067610E">
        <w:trPr>
          <w:tblHeader/>
        </w:trPr>
        <w:tc>
          <w:tcPr>
            <w:tcW w:w="848" w:type="pct"/>
            <w:tcBorders>
              <w:top w:val="nil"/>
              <w:left w:val="nil"/>
              <w:bottom w:val="nil"/>
              <w:right w:val="nil"/>
              <w:tl2br w:val="nil"/>
              <w:tr2bl w:val="nil"/>
            </w:tcBorders>
            <w:shd w:val="clear" w:color="auto" w:fill="003399"/>
          </w:tcPr>
          <w:p w14:paraId="5CA08E7F" w14:textId="77777777" w:rsidR="0067610E" w:rsidRPr="0067610E" w:rsidRDefault="0067610E">
            <w:pPr>
              <w:pStyle w:val="TableheadingrowsAgency"/>
              <w:rPr>
                <w:b w:val="0"/>
                <w:bCs/>
              </w:rPr>
            </w:pPr>
            <w:r w:rsidRPr="0067610E">
              <w:rPr>
                <w:b w:val="0"/>
                <w:bCs/>
              </w:rPr>
              <w:t>Stakeholder number</w:t>
            </w:r>
          </w:p>
          <w:p w14:paraId="1687987F" w14:textId="77777777" w:rsidR="0067610E" w:rsidRPr="0067610E" w:rsidRDefault="0067610E">
            <w:pPr>
              <w:pStyle w:val="TableheadingrowsAgency"/>
              <w:rPr>
                <w:b w:val="0"/>
                <w:bCs/>
                <w:i/>
                <w:color w:val="339966"/>
              </w:rPr>
            </w:pPr>
            <w:r w:rsidRPr="0067610E">
              <w:rPr>
                <w:b w:val="0"/>
                <w:i/>
                <w:color w:val="339966"/>
              </w:rPr>
              <w:t>(To be completed by the Agency)</w:t>
            </w:r>
          </w:p>
        </w:tc>
        <w:tc>
          <w:tcPr>
            <w:tcW w:w="1839" w:type="pct"/>
            <w:tcBorders>
              <w:top w:val="nil"/>
              <w:left w:val="nil"/>
              <w:bottom w:val="nil"/>
              <w:right w:val="nil"/>
              <w:tl2br w:val="nil"/>
              <w:tr2bl w:val="nil"/>
            </w:tcBorders>
            <w:shd w:val="clear" w:color="auto" w:fill="003399"/>
          </w:tcPr>
          <w:p w14:paraId="6AF20B5D" w14:textId="77777777" w:rsidR="0067610E" w:rsidRPr="0067610E" w:rsidRDefault="0067610E">
            <w:pPr>
              <w:pStyle w:val="TableheadingrowsAgency"/>
              <w:rPr>
                <w:b w:val="0"/>
                <w:bCs/>
              </w:rPr>
            </w:pPr>
            <w:r w:rsidRPr="0067610E">
              <w:rPr>
                <w:b w:val="0"/>
                <w:bCs/>
              </w:rPr>
              <w:t>General comment (if any)</w:t>
            </w:r>
          </w:p>
        </w:tc>
        <w:tc>
          <w:tcPr>
            <w:tcW w:w="2313" w:type="pct"/>
            <w:tcBorders>
              <w:top w:val="nil"/>
              <w:left w:val="nil"/>
              <w:bottom w:val="nil"/>
              <w:right w:val="nil"/>
              <w:tl2br w:val="nil"/>
              <w:tr2bl w:val="nil"/>
            </w:tcBorders>
            <w:shd w:val="clear" w:color="auto" w:fill="003399"/>
          </w:tcPr>
          <w:p w14:paraId="62AAD6B5" w14:textId="77777777" w:rsidR="0067610E" w:rsidRPr="0067610E" w:rsidRDefault="0067610E">
            <w:pPr>
              <w:pStyle w:val="TableheadingrowsAgency"/>
              <w:rPr>
                <w:b w:val="0"/>
                <w:bCs/>
              </w:rPr>
            </w:pPr>
            <w:r w:rsidRPr="0067610E">
              <w:rPr>
                <w:b w:val="0"/>
                <w:bCs/>
              </w:rPr>
              <w:t>Outcome (if applicable)</w:t>
            </w:r>
          </w:p>
          <w:p w14:paraId="4EFBDB8F" w14:textId="77777777" w:rsidR="0067610E" w:rsidRPr="0067610E" w:rsidRDefault="0067610E">
            <w:pPr>
              <w:pStyle w:val="TableheadingrowsAgency"/>
              <w:rPr>
                <w:b w:val="0"/>
                <w:bCs/>
                <w:i/>
                <w:color w:val="339966"/>
              </w:rPr>
            </w:pPr>
            <w:r w:rsidRPr="0067610E">
              <w:rPr>
                <w:b w:val="0"/>
                <w:i/>
                <w:color w:val="339966"/>
              </w:rPr>
              <w:t>(To be completed by the Agency)</w:t>
            </w:r>
          </w:p>
        </w:tc>
      </w:tr>
      <w:tr w:rsidR="0067610E" w14:paraId="1DA21E55" w14:textId="77777777" w:rsidTr="0067610E">
        <w:tc>
          <w:tcPr>
            <w:tcW w:w="848" w:type="pct"/>
            <w:shd w:val="clear" w:color="auto" w:fill="E1E3F2"/>
          </w:tcPr>
          <w:p w14:paraId="667176BC" w14:textId="77777777" w:rsidR="0067610E" w:rsidRDefault="0067610E">
            <w:pPr>
              <w:pStyle w:val="TabletextrowsAgency"/>
            </w:pPr>
          </w:p>
        </w:tc>
        <w:tc>
          <w:tcPr>
            <w:tcW w:w="1839" w:type="pct"/>
            <w:shd w:val="clear" w:color="auto" w:fill="E1E3F2"/>
          </w:tcPr>
          <w:p w14:paraId="7933BBDE" w14:textId="6528C448" w:rsidR="000D2AE6" w:rsidRDefault="006E4460" w:rsidP="006E4460">
            <w:pPr>
              <w:pStyle w:val="TabletextrowsAgency"/>
            </w:pPr>
            <w:r>
              <w:t>BPI represents the majority of Germany’s industry in the field of cell-based Advanced Therapy Medicinal Products (ATMP), nearly all of these companies being SMEs. Therefore, the comments of BPI represent the voice of SMEs that are especially invited to comment</w:t>
            </w:r>
            <w:r w:rsidR="00835CE7">
              <w:t xml:space="preserve"> </w:t>
            </w:r>
            <w:r>
              <w:t>by the Commission.</w:t>
            </w:r>
          </w:p>
          <w:p w14:paraId="50BB3B0B" w14:textId="77777777" w:rsidR="000D2AE6" w:rsidRDefault="000D2AE6" w:rsidP="00B32F70">
            <w:pPr>
              <w:pStyle w:val="TabletextrowsAgency"/>
            </w:pPr>
          </w:p>
          <w:p w14:paraId="29E4F2E6" w14:textId="67FEF4EA" w:rsidR="00E40D46" w:rsidRDefault="00E40D46" w:rsidP="00B32F70">
            <w:pPr>
              <w:pStyle w:val="TabletextrowsAgency"/>
            </w:pPr>
            <w:r>
              <w:t xml:space="preserve">BPI </w:t>
            </w:r>
            <w:r w:rsidRPr="00E40D46">
              <w:t>highly welcomes the proposals made in the consultation guidelines which in our opinion pave the way for feasible ATMP development in Europe leading to increased availability of these product</w:t>
            </w:r>
            <w:r w:rsidR="00835CE7">
              <w:t>s</w:t>
            </w:r>
            <w:r w:rsidRPr="00E40D46">
              <w:t xml:space="preserve"> without making compromise to quality and safety of the products.</w:t>
            </w:r>
          </w:p>
          <w:p w14:paraId="4F472AE9" w14:textId="77777777" w:rsidR="00E40D46" w:rsidRDefault="00E40D46" w:rsidP="00B32F70">
            <w:pPr>
              <w:pStyle w:val="TabletextrowsAgency"/>
            </w:pPr>
          </w:p>
          <w:p w14:paraId="7845FFD0" w14:textId="77777777" w:rsidR="0067610E" w:rsidRDefault="00141D25" w:rsidP="00B32F70">
            <w:pPr>
              <w:pStyle w:val="TabletextrowsAgency"/>
            </w:pPr>
            <w:r>
              <w:t xml:space="preserve">The role of the sponsor should be defined more in detail. In clinical trials </w:t>
            </w:r>
            <w:r w:rsidR="00B32F70">
              <w:t xml:space="preserve">currently </w:t>
            </w:r>
            <w:r>
              <w:t xml:space="preserve">a lot of ATIMPs will be manufactured by CMOs for a sponsor independent from the CMO. Typically all issues within the clinic are in the responsibility of the sponsor and a CMO has no relationships with the clinic. </w:t>
            </w:r>
            <w:r w:rsidR="00B32F70">
              <w:t xml:space="preserve">Within the document there is more or less only the wording “manufacturer” but the manufacturer isn’t the sponsor in a lot of cases! </w:t>
            </w:r>
            <w:r>
              <w:t>This should be reflected</w:t>
            </w:r>
            <w:r w:rsidR="00E40D46">
              <w:t>.</w:t>
            </w:r>
          </w:p>
          <w:p w14:paraId="3073C03B" w14:textId="77777777" w:rsidR="00E40D46" w:rsidRDefault="00E40D46" w:rsidP="00B32F70">
            <w:pPr>
              <w:pStyle w:val="TabletextrowsAgency"/>
            </w:pPr>
          </w:p>
          <w:p w14:paraId="63A2600A" w14:textId="77777777" w:rsidR="00E40D46" w:rsidRDefault="00E40D46" w:rsidP="00E40D46">
            <w:pPr>
              <w:pStyle w:val="TabletextrowsAgency"/>
            </w:pPr>
            <w:r>
              <w:t xml:space="preserve">General suggestions: </w:t>
            </w:r>
          </w:p>
          <w:p w14:paraId="674B39D8" w14:textId="77777777" w:rsidR="00E40D46" w:rsidRDefault="00E40D46" w:rsidP="00E40D46">
            <w:pPr>
              <w:pStyle w:val="TabletextrowsAgency"/>
              <w:numPr>
                <w:ilvl w:val="0"/>
                <w:numId w:val="40"/>
              </w:numPr>
            </w:pPr>
            <w:r>
              <w:t xml:space="preserve">more consideration on implication of GTMPs with </w:t>
            </w:r>
            <w:r>
              <w:lastRenderedPageBreak/>
              <w:t>respect to environment and decontamination since there will be no other “GMP for GTMP”);</w:t>
            </w:r>
          </w:p>
          <w:p w14:paraId="4BF707FB" w14:textId="77777777" w:rsidR="00E40D46" w:rsidRDefault="00E40D46" w:rsidP="00E40D46">
            <w:pPr>
              <w:pStyle w:val="TabletextrowsAgency"/>
              <w:numPr>
                <w:ilvl w:val="0"/>
                <w:numId w:val="40"/>
              </w:numPr>
            </w:pPr>
            <w:r>
              <w:t>the intra-document-referencing is not very well (see contradictions mentioned above;</w:t>
            </w:r>
          </w:p>
          <w:p w14:paraId="5EFA1354" w14:textId="77777777" w:rsidR="00E40D46" w:rsidRDefault="00E40D46" w:rsidP="00E40D46">
            <w:pPr>
              <w:pStyle w:val="TabletextrowsAgency"/>
              <w:numPr>
                <w:ilvl w:val="0"/>
                <w:numId w:val="40"/>
              </w:numPr>
            </w:pPr>
            <w:r>
              <w:t>the inter-document-referencing between published documents isn’t well either.</w:t>
            </w:r>
          </w:p>
        </w:tc>
        <w:tc>
          <w:tcPr>
            <w:tcW w:w="2313" w:type="pct"/>
            <w:shd w:val="clear" w:color="auto" w:fill="E1E3F2"/>
          </w:tcPr>
          <w:p w14:paraId="3AC473FA" w14:textId="77777777" w:rsidR="0067610E" w:rsidRDefault="0067610E">
            <w:pPr>
              <w:pStyle w:val="TabletextrowsAgency"/>
            </w:pPr>
          </w:p>
        </w:tc>
      </w:tr>
    </w:tbl>
    <w:p w14:paraId="6F72548E" w14:textId="77777777" w:rsidR="0067610E" w:rsidRDefault="0067610E">
      <w:pPr>
        <w:pStyle w:val="BodytextAgency"/>
      </w:pPr>
    </w:p>
    <w:p w14:paraId="1022B5D6" w14:textId="77777777" w:rsidR="0067610E" w:rsidRPr="00B822FC" w:rsidRDefault="0067610E">
      <w:pPr>
        <w:pStyle w:val="Heading1Agency"/>
        <w:pageBreakBefore/>
      </w:pPr>
      <w:r w:rsidRPr="00B822FC">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5932"/>
        <w:gridCol w:w="4545"/>
      </w:tblGrid>
      <w:tr w:rsidR="0067610E" w:rsidRPr="00F30925" w14:paraId="39DE8D42" w14:textId="77777777" w:rsidTr="0067610E">
        <w:trPr>
          <w:tblHeader/>
        </w:trPr>
        <w:tc>
          <w:tcPr>
            <w:tcW w:w="645" w:type="pct"/>
            <w:tcBorders>
              <w:top w:val="nil"/>
              <w:left w:val="nil"/>
              <w:bottom w:val="nil"/>
              <w:right w:val="nil"/>
              <w:tl2br w:val="nil"/>
              <w:tr2bl w:val="nil"/>
            </w:tcBorders>
            <w:shd w:val="clear" w:color="auto" w:fill="003399"/>
          </w:tcPr>
          <w:p w14:paraId="1EA69C19" w14:textId="77777777" w:rsidR="0067610E" w:rsidRDefault="0067610E">
            <w:pPr>
              <w:pStyle w:val="TableheadingrowsAgency"/>
              <w:rPr>
                <w:b w:val="0"/>
              </w:rPr>
            </w:pPr>
            <w:r w:rsidRPr="00F30925">
              <w:rPr>
                <w:b w:val="0"/>
              </w:rPr>
              <w:t xml:space="preserve">Line </w:t>
            </w:r>
            <w:r>
              <w:rPr>
                <w:b w:val="0"/>
              </w:rPr>
              <w:t>number(s)</w:t>
            </w:r>
            <w:r w:rsidRPr="00F30925">
              <w:rPr>
                <w:b w:val="0"/>
              </w:rPr>
              <w:t xml:space="preserve"> of the </w:t>
            </w:r>
            <w:r>
              <w:rPr>
                <w:b w:val="0"/>
              </w:rPr>
              <w:t>relevant text</w:t>
            </w:r>
          </w:p>
          <w:p w14:paraId="78BF3E40" w14:textId="77777777" w:rsidR="0067610E" w:rsidRPr="0067610E" w:rsidRDefault="0067610E">
            <w:pPr>
              <w:pStyle w:val="TableheadingrowsAgency"/>
              <w:rPr>
                <w:b w:val="0"/>
                <w:i/>
                <w:color w:val="339966"/>
              </w:rPr>
            </w:pPr>
            <w:r w:rsidRPr="0067610E">
              <w:rPr>
                <w:b w:val="0"/>
                <w:i/>
                <w:color w:val="339966"/>
              </w:rPr>
              <w:t>(e.g. Lines 20-23)</w:t>
            </w:r>
          </w:p>
        </w:tc>
        <w:tc>
          <w:tcPr>
            <w:tcW w:w="812" w:type="pct"/>
            <w:tcBorders>
              <w:top w:val="nil"/>
              <w:left w:val="nil"/>
              <w:bottom w:val="nil"/>
              <w:right w:val="nil"/>
              <w:tl2br w:val="nil"/>
              <w:tr2bl w:val="nil"/>
            </w:tcBorders>
            <w:shd w:val="clear" w:color="auto" w:fill="003399"/>
          </w:tcPr>
          <w:p w14:paraId="5BC40EEA" w14:textId="77777777" w:rsidR="0067610E" w:rsidRDefault="0067610E">
            <w:pPr>
              <w:pStyle w:val="TableheadingrowsAgency"/>
              <w:rPr>
                <w:b w:val="0"/>
              </w:rPr>
            </w:pPr>
            <w:r>
              <w:rPr>
                <w:b w:val="0"/>
              </w:rPr>
              <w:t>Stakeholder number</w:t>
            </w:r>
          </w:p>
          <w:p w14:paraId="0B7D15FB" w14:textId="77777777" w:rsidR="0067610E" w:rsidRDefault="0067610E">
            <w:pPr>
              <w:pStyle w:val="TableheadingrowsAgency"/>
              <w:rPr>
                <w:b w:val="0"/>
              </w:rPr>
            </w:pPr>
            <w:r w:rsidRPr="0067610E">
              <w:rPr>
                <w:b w:val="0"/>
                <w:i/>
                <w:color w:val="339966"/>
              </w:rPr>
              <w:t>(To be completed by the Agency)</w:t>
            </w:r>
          </w:p>
        </w:tc>
        <w:tc>
          <w:tcPr>
            <w:tcW w:w="2006" w:type="pct"/>
            <w:tcBorders>
              <w:top w:val="nil"/>
              <w:left w:val="nil"/>
              <w:bottom w:val="nil"/>
              <w:right w:val="nil"/>
              <w:tl2br w:val="nil"/>
              <w:tr2bl w:val="nil"/>
            </w:tcBorders>
            <w:shd w:val="clear" w:color="auto" w:fill="003399"/>
          </w:tcPr>
          <w:p w14:paraId="58C0F208" w14:textId="77777777" w:rsidR="0067610E" w:rsidRDefault="0067610E">
            <w:pPr>
              <w:pStyle w:val="TableheadingrowsAgency"/>
              <w:rPr>
                <w:b w:val="0"/>
              </w:rPr>
            </w:pPr>
            <w:r>
              <w:rPr>
                <w:b w:val="0"/>
              </w:rPr>
              <w:t>Comment and r</w:t>
            </w:r>
            <w:r w:rsidRPr="00F30925">
              <w:rPr>
                <w:b w:val="0"/>
              </w:rPr>
              <w:t>ationale; proposed changes</w:t>
            </w:r>
          </w:p>
          <w:p w14:paraId="7D12116B" w14:textId="77777777" w:rsidR="0067610E" w:rsidRPr="0067610E" w:rsidRDefault="0067610E">
            <w:pPr>
              <w:pStyle w:val="TableheadingrowsAgency"/>
              <w:rPr>
                <w:b w:val="0"/>
                <w:i/>
                <w:color w:val="339966"/>
              </w:rPr>
            </w:pPr>
            <w:r w:rsidRPr="0067610E">
              <w:rPr>
                <w:b w:val="0"/>
                <w:i/>
                <w:color w:val="339966"/>
              </w:rPr>
              <w:t>(If changes to the wording are suggested, they should be highlighted using 'track changes')</w:t>
            </w:r>
          </w:p>
        </w:tc>
        <w:tc>
          <w:tcPr>
            <w:tcW w:w="1537" w:type="pct"/>
            <w:tcBorders>
              <w:top w:val="nil"/>
              <w:left w:val="nil"/>
              <w:bottom w:val="nil"/>
              <w:right w:val="nil"/>
              <w:tl2br w:val="nil"/>
              <w:tr2bl w:val="nil"/>
            </w:tcBorders>
            <w:shd w:val="clear" w:color="auto" w:fill="003399"/>
          </w:tcPr>
          <w:p w14:paraId="39332105" w14:textId="77777777" w:rsidR="0067610E" w:rsidRDefault="0067610E">
            <w:pPr>
              <w:pStyle w:val="TableheadingrowsAgency"/>
              <w:rPr>
                <w:b w:val="0"/>
              </w:rPr>
            </w:pPr>
            <w:r w:rsidRPr="00F30925">
              <w:rPr>
                <w:b w:val="0"/>
              </w:rPr>
              <w:t>Outcome</w:t>
            </w:r>
          </w:p>
          <w:p w14:paraId="79868D10" w14:textId="77777777" w:rsidR="0067610E" w:rsidRPr="00F30925" w:rsidRDefault="0067610E">
            <w:pPr>
              <w:pStyle w:val="TableheadingrowsAgency"/>
              <w:rPr>
                <w:b w:val="0"/>
              </w:rPr>
            </w:pPr>
            <w:r w:rsidRPr="0067610E">
              <w:rPr>
                <w:b w:val="0"/>
                <w:i/>
                <w:color w:val="339966"/>
              </w:rPr>
              <w:t>(To be completed by the Agency)</w:t>
            </w:r>
          </w:p>
        </w:tc>
      </w:tr>
      <w:tr w:rsidR="00E40D46" w14:paraId="1F6E70D8" w14:textId="77777777" w:rsidTr="0067610E">
        <w:tc>
          <w:tcPr>
            <w:tcW w:w="645" w:type="pct"/>
            <w:shd w:val="clear" w:color="auto" w:fill="E1E3F2"/>
          </w:tcPr>
          <w:p w14:paraId="29DDECED" w14:textId="77777777" w:rsidR="00E40D46" w:rsidRDefault="00E40D46">
            <w:pPr>
              <w:pStyle w:val="TabletextrowsAgency"/>
            </w:pPr>
            <w:r w:rsidRPr="00E40D46">
              <w:t>128-130</w:t>
            </w:r>
          </w:p>
        </w:tc>
        <w:tc>
          <w:tcPr>
            <w:tcW w:w="812" w:type="pct"/>
            <w:shd w:val="clear" w:color="auto" w:fill="E1E3F2"/>
          </w:tcPr>
          <w:p w14:paraId="41D712AB" w14:textId="77777777" w:rsidR="00E40D46" w:rsidRDefault="00E40D46">
            <w:pPr>
              <w:pStyle w:val="TabletextrowsAgency"/>
            </w:pPr>
          </w:p>
        </w:tc>
        <w:tc>
          <w:tcPr>
            <w:tcW w:w="2006" w:type="pct"/>
            <w:shd w:val="clear" w:color="auto" w:fill="E1E3F2"/>
          </w:tcPr>
          <w:p w14:paraId="72F40A67" w14:textId="77777777" w:rsidR="00E40D46" w:rsidRDefault="00E40D46" w:rsidP="00E40D46">
            <w:pPr>
              <w:pStyle w:val="TabletextrowsAgency"/>
            </w:pPr>
            <w:r w:rsidRPr="00E40D46">
              <w:t>Comment:</w:t>
            </w:r>
          </w:p>
          <w:p w14:paraId="173FFAEB" w14:textId="77777777" w:rsidR="00E40D46" w:rsidRPr="00B822FC" w:rsidRDefault="00E40D46" w:rsidP="001A65E9">
            <w:pPr>
              <w:pStyle w:val="TabletextrowsAgency"/>
            </w:pPr>
            <w:r>
              <w:t>I</w:t>
            </w:r>
            <w:r w:rsidRPr="00E40D46">
              <w:t>t should be clarified that current other guidelines (e.g. EU-GMP) will no longer apply to ATMPs or at least have to be considered together with GMP for ATMP Document. We strongly recommend cross-referencing to this consultation document where applicable.</w:t>
            </w:r>
          </w:p>
        </w:tc>
        <w:tc>
          <w:tcPr>
            <w:tcW w:w="1537" w:type="pct"/>
            <w:shd w:val="clear" w:color="auto" w:fill="E1E3F2"/>
          </w:tcPr>
          <w:p w14:paraId="0C89D99F" w14:textId="77777777" w:rsidR="00E40D46" w:rsidRPr="00561BA0" w:rsidRDefault="00E40D46">
            <w:pPr>
              <w:pStyle w:val="TabletextrowsAgency"/>
            </w:pPr>
          </w:p>
        </w:tc>
      </w:tr>
      <w:tr w:rsidR="00E40D46" w14:paraId="0517A38B" w14:textId="77777777" w:rsidTr="0067610E">
        <w:tc>
          <w:tcPr>
            <w:tcW w:w="645" w:type="pct"/>
            <w:shd w:val="clear" w:color="auto" w:fill="E1E3F2"/>
          </w:tcPr>
          <w:p w14:paraId="6AEBDE44" w14:textId="77777777" w:rsidR="00E40D46" w:rsidRPr="00E40D46" w:rsidRDefault="00E40D46">
            <w:pPr>
              <w:pStyle w:val="TabletextrowsAgency"/>
            </w:pPr>
            <w:r w:rsidRPr="00E40D46">
              <w:t>151 f</w:t>
            </w:r>
            <w:r>
              <w:t>.</w:t>
            </w:r>
          </w:p>
        </w:tc>
        <w:tc>
          <w:tcPr>
            <w:tcW w:w="812" w:type="pct"/>
            <w:shd w:val="clear" w:color="auto" w:fill="E1E3F2"/>
          </w:tcPr>
          <w:p w14:paraId="75BAC1B3" w14:textId="77777777" w:rsidR="00E40D46" w:rsidRDefault="00E40D46">
            <w:pPr>
              <w:pStyle w:val="TabletextrowsAgency"/>
            </w:pPr>
          </w:p>
        </w:tc>
        <w:tc>
          <w:tcPr>
            <w:tcW w:w="2006" w:type="pct"/>
            <w:shd w:val="clear" w:color="auto" w:fill="E1E3F2"/>
          </w:tcPr>
          <w:p w14:paraId="18A5D88E" w14:textId="77777777" w:rsidR="00E40D46" w:rsidRPr="00E40D46" w:rsidRDefault="00E40D46" w:rsidP="00E40D46">
            <w:pPr>
              <w:pStyle w:val="TabletextrowsAgency"/>
              <w:rPr>
                <w:i/>
              </w:rPr>
            </w:pPr>
            <w:r w:rsidRPr="00E40D46">
              <w:rPr>
                <w:i/>
              </w:rPr>
              <w:t>“…and allogenic products in a donor matched scenario:”</w:t>
            </w:r>
          </w:p>
          <w:p w14:paraId="2D71820C" w14:textId="77777777" w:rsidR="00E40D46" w:rsidRDefault="00E40D46" w:rsidP="00E40D46">
            <w:pPr>
              <w:pStyle w:val="TabletextrowsAgency"/>
            </w:pPr>
            <w:r>
              <w:t>Comment:</w:t>
            </w:r>
          </w:p>
          <w:p w14:paraId="7696E49E" w14:textId="69FFE56B" w:rsidR="00E40D46" w:rsidRPr="00E40D46" w:rsidRDefault="00E40D46" w:rsidP="001A65E9">
            <w:pPr>
              <w:pStyle w:val="TabletextrowsAgency"/>
            </w:pPr>
            <w:r>
              <w:t xml:space="preserve">Allogenic products are not always donor matched. Therefore this should also apply to </w:t>
            </w:r>
            <w:r w:rsidR="005807C2">
              <w:t>HLA-</w:t>
            </w:r>
            <w:r>
              <w:t>mismatched settings, which is a common clinical situation or not applicable in certain settings or for certain products.</w:t>
            </w:r>
          </w:p>
        </w:tc>
        <w:tc>
          <w:tcPr>
            <w:tcW w:w="1537" w:type="pct"/>
            <w:shd w:val="clear" w:color="auto" w:fill="E1E3F2"/>
          </w:tcPr>
          <w:p w14:paraId="15CD6E92" w14:textId="2974AC8F" w:rsidR="00E40D46" w:rsidRPr="00561BA0" w:rsidRDefault="00E40D46" w:rsidP="005807C2">
            <w:pPr>
              <w:pStyle w:val="TabletextrowsAgency"/>
            </w:pPr>
          </w:p>
        </w:tc>
      </w:tr>
      <w:tr w:rsidR="00537F3B" w:rsidRPr="00195E4B" w14:paraId="2C06D346" w14:textId="77777777" w:rsidTr="00537F3B">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76E9D06D" w14:textId="77777777" w:rsidR="00537F3B" w:rsidRPr="00195E4B" w:rsidRDefault="00537F3B" w:rsidP="003976B1">
            <w:pPr>
              <w:pStyle w:val="TabletextrowsAgency"/>
            </w:pPr>
            <w:r w:rsidRPr="00195E4B">
              <w:t>268-272</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02EDEA00" w14:textId="77777777" w:rsidR="00537F3B" w:rsidRPr="00195E4B" w:rsidRDefault="00537F3B" w:rsidP="003976B1">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7C36B3F9" w14:textId="77777777" w:rsidR="00537F3B" w:rsidRPr="00195E4B" w:rsidRDefault="00537F3B" w:rsidP="003976B1">
            <w:pPr>
              <w:pStyle w:val="TabletextrowsAgency"/>
            </w:pPr>
            <w:r w:rsidRPr="00195E4B">
              <w:t>Comment:</w:t>
            </w:r>
          </w:p>
          <w:p w14:paraId="59A35D94" w14:textId="77777777" w:rsidR="00537F3B" w:rsidRPr="00195E4B" w:rsidRDefault="00537F3B" w:rsidP="003976B1">
            <w:pPr>
              <w:pStyle w:val="TabletextrowsAgency"/>
            </w:pPr>
            <w:r w:rsidRPr="00195E4B">
              <w:t>A particular matter test isn’t applicable for cell suspensions. Also detecting foreign visible particles is more a theoretical exercise in a dense cells suspension. The only meaningful test is appearance (colour etc.).</w:t>
            </w:r>
          </w:p>
          <w:p w14:paraId="6B49ECED" w14:textId="77777777" w:rsidR="00537F3B" w:rsidRPr="00195E4B" w:rsidRDefault="00537F3B" w:rsidP="003976B1">
            <w:pPr>
              <w:pStyle w:val="TabletextrowsAgency"/>
            </w:pPr>
            <w:r w:rsidRPr="00195E4B">
              <w:t>Proposed change (if any):</w:t>
            </w:r>
          </w:p>
          <w:p w14:paraId="0E132B19" w14:textId="77777777" w:rsidR="00537F3B" w:rsidRPr="00195E4B" w:rsidRDefault="00537F3B" w:rsidP="003976B1">
            <w:pPr>
              <w:pStyle w:val="TabletextrowsAgency"/>
            </w:pPr>
            <w:r w:rsidRPr="00195E4B">
              <w:t>Deleting this paragraph.</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1069203F" w14:textId="0FF0F75F" w:rsidR="00537F3B" w:rsidRPr="00195E4B" w:rsidRDefault="00537F3B" w:rsidP="003976B1">
            <w:pPr>
              <w:pStyle w:val="TabletextrowsAgency"/>
            </w:pPr>
          </w:p>
        </w:tc>
      </w:tr>
      <w:tr w:rsidR="0001450C" w:rsidRPr="00195E4B" w14:paraId="522A13EB" w14:textId="77777777" w:rsidTr="0001450C">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1CE3FBB9" w14:textId="77777777" w:rsidR="0001450C" w:rsidRPr="00195E4B" w:rsidRDefault="0001450C" w:rsidP="003976B1">
            <w:pPr>
              <w:pStyle w:val="TabletextrowsAgency"/>
            </w:pPr>
            <w:r w:rsidRPr="00195E4B">
              <w:t>429-434</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713CB322" w14:textId="77777777" w:rsidR="0001450C" w:rsidRPr="00195E4B" w:rsidRDefault="0001450C" w:rsidP="003976B1">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40B111C4" w14:textId="77777777" w:rsidR="0001450C" w:rsidRPr="00195E4B" w:rsidRDefault="0001450C" w:rsidP="003976B1">
            <w:pPr>
              <w:pStyle w:val="TabletextrowsAgency"/>
            </w:pPr>
            <w:r w:rsidRPr="00195E4B">
              <w:t>Comment:</w:t>
            </w:r>
          </w:p>
          <w:p w14:paraId="64037420" w14:textId="77777777" w:rsidR="0001450C" w:rsidRPr="00195E4B" w:rsidRDefault="0001450C" w:rsidP="003976B1">
            <w:pPr>
              <w:pStyle w:val="TabletextrowsAgency"/>
            </w:pPr>
            <w:r w:rsidRPr="00195E4B">
              <w:t>It should also be included that Head of Manufacturing / or Head of Quality Control can perform in personal union also the QP function.</w:t>
            </w:r>
          </w:p>
          <w:p w14:paraId="738AED5A" w14:textId="77777777" w:rsidR="0001450C" w:rsidRPr="00195E4B" w:rsidRDefault="0001450C" w:rsidP="003976B1">
            <w:pPr>
              <w:pStyle w:val="TabletextrowsAgency"/>
            </w:pPr>
            <w:r w:rsidRPr="00195E4B">
              <w:t>Proposed change (if any):</w:t>
            </w:r>
          </w:p>
          <w:p w14:paraId="33C08DF5" w14:textId="77777777" w:rsidR="0001450C" w:rsidRPr="00195E4B" w:rsidRDefault="0001450C" w:rsidP="003976B1">
            <w:pPr>
              <w:pStyle w:val="TabletextrowsAgency"/>
            </w:pPr>
            <w:r w:rsidRPr="00195E4B">
              <w:t>Adding of such an additional sentence that reflects this issue.</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7D12B802" w14:textId="77777777" w:rsidR="0001450C" w:rsidRPr="00195E4B" w:rsidRDefault="0001450C" w:rsidP="003976B1">
            <w:pPr>
              <w:pStyle w:val="TabletextrowsAgency"/>
            </w:pPr>
          </w:p>
        </w:tc>
      </w:tr>
      <w:tr w:rsidR="00E40D46" w14:paraId="2431A06E" w14:textId="77777777" w:rsidTr="0067610E">
        <w:tc>
          <w:tcPr>
            <w:tcW w:w="645" w:type="pct"/>
            <w:shd w:val="clear" w:color="auto" w:fill="E1E3F2"/>
          </w:tcPr>
          <w:p w14:paraId="334B0D7E" w14:textId="77777777" w:rsidR="00E40D46" w:rsidRPr="00E40D46" w:rsidRDefault="00E40D46">
            <w:pPr>
              <w:pStyle w:val="TabletextrowsAgency"/>
            </w:pPr>
            <w:r w:rsidRPr="00E40D46">
              <w:t>461-471</w:t>
            </w:r>
          </w:p>
        </w:tc>
        <w:tc>
          <w:tcPr>
            <w:tcW w:w="812" w:type="pct"/>
            <w:shd w:val="clear" w:color="auto" w:fill="E1E3F2"/>
          </w:tcPr>
          <w:p w14:paraId="61515C8F" w14:textId="77777777" w:rsidR="00E40D46" w:rsidRDefault="00E40D46">
            <w:pPr>
              <w:pStyle w:val="TabletextrowsAgency"/>
            </w:pPr>
          </w:p>
        </w:tc>
        <w:tc>
          <w:tcPr>
            <w:tcW w:w="2006" w:type="pct"/>
            <w:shd w:val="clear" w:color="auto" w:fill="E1E3F2"/>
          </w:tcPr>
          <w:p w14:paraId="0958C639" w14:textId="77777777" w:rsidR="00E40D46" w:rsidRDefault="00E40D46" w:rsidP="00E40D46">
            <w:pPr>
              <w:pStyle w:val="TabletextrowsAgency"/>
            </w:pPr>
            <w:r>
              <w:t>Comment</w:t>
            </w:r>
            <w:r w:rsidRPr="00E40D46">
              <w:t>:</w:t>
            </w:r>
          </w:p>
          <w:p w14:paraId="2DB93E3E" w14:textId="77777777" w:rsidR="00E40D46" w:rsidRPr="00E40D46" w:rsidRDefault="00E40D46" w:rsidP="001A65E9">
            <w:pPr>
              <w:pStyle w:val="TabletextrowsAgency"/>
            </w:pPr>
            <w:r w:rsidRPr="00E40D46">
              <w:t>For clarification please add that each closed system is to be regarded as an area (as referred to in line 1268).</w:t>
            </w:r>
          </w:p>
        </w:tc>
        <w:tc>
          <w:tcPr>
            <w:tcW w:w="1537" w:type="pct"/>
            <w:shd w:val="clear" w:color="auto" w:fill="E1E3F2"/>
          </w:tcPr>
          <w:p w14:paraId="36959994" w14:textId="77777777" w:rsidR="00E40D46" w:rsidRPr="00561BA0" w:rsidRDefault="00E40D46">
            <w:pPr>
              <w:pStyle w:val="TabletextrowsAgency"/>
            </w:pPr>
          </w:p>
        </w:tc>
      </w:tr>
      <w:tr w:rsidR="00CF6077" w:rsidRPr="00B822FC" w14:paraId="1EC5D199" w14:textId="77777777" w:rsidTr="00CF6077">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1EE45163" w14:textId="77777777" w:rsidR="00CF6077" w:rsidRDefault="00CF6077" w:rsidP="00187FED">
            <w:pPr>
              <w:pStyle w:val="TabletextrowsAgency"/>
            </w:pPr>
            <w:r>
              <w:t>Lines 461-462</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381309FF" w14:textId="77777777" w:rsidR="00CF6077" w:rsidRDefault="00CF6077" w:rsidP="00187FED">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4D735CF8" w14:textId="77777777" w:rsidR="00CF6077" w:rsidRDefault="00CF6077" w:rsidP="00187FED">
            <w:pPr>
              <w:pStyle w:val="TabletextrowsAgency"/>
            </w:pPr>
            <w:r>
              <w:t>Comment</w:t>
            </w:r>
            <w:r w:rsidRPr="00B822FC">
              <w:t>:</w:t>
            </w:r>
            <w:r>
              <w:t xml:space="preserve"> The manufacture of other medicinal products can be very similar to ATMP (similar starting materials with just a difference in unit operations or medical indication. A justification to require a dedicated area should not solely be based on product classification. For example, in Germany hematopoietic stem cell preparations are medicinal products; it does not stand to reason why these should be segregated from ATMP manufacture.</w:t>
            </w:r>
          </w:p>
          <w:p w14:paraId="5DC26E0F" w14:textId="77777777" w:rsidR="00CF6077" w:rsidRDefault="00CF6077" w:rsidP="00187FED">
            <w:pPr>
              <w:pStyle w:val="TabletextrowsAgency"/>
            </w:pPr>
            <w:r>
              <w:t>Delete sentence, because “conventional” GMPs are applicable to those “other medicinal products” guiding the necessary degree of segregation and dedication.</w:t>
            </w:r>
          </w:p>
          <w:p w14:paraId="070518BC" w14:textId="77777777" w:rsidR="00CF6077" w:rsidRPr="00B822FC" w:rsidRDefault="00CF6077" w:rsidP="00187FED">
            <w:pPr>
              <w:pStyle w:val="TabletextrowsAgency"/>
            </w:pPr>
            <w:r w:rsidRPr="00B822FC">
              <w:t>Proposed change:</w:t>
            </w:r>
          </w:p>
          <w:p w14:paraId="69928B42" w14:textId="77777777" w:rsidR="00CF6077" w:rsidRPr="00A97AAF" w:rsidRDefault="00CF6077" w:rsidP="00187FED">
            <w:pPr>
              <w:pStyle w:val="TabletextrowsAgency"/>
              <w:rPr>
                <w:strike/>
                <w:color w:val="C00000"/>
              </w:rPr>
            </w:pPr>
            <w:r w:rsidRPr="00A97AAF">
              <w:rPr>
                <w:strike/>
                <w:color w:val="C00000"/>
              </w:rPr>
              <w:t>If the manufacturing site produces medicinal products other than ATMPs, the manufacture of ATMPs should take place in a dedicated area of the facility.</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35F54E33" w14:textId="77777777" w:rsidR="00CF6077" w:rsidRPr="00561BA0" w:rsidRDefault="00CF6077" w:rsidP="00187FED">
            <w:pPr>
              <w:pStyle w:val="TabletextrowsAgency"/>
            </w:pPr>
          </w:p>
        </w:tc>
      </w:tr>
      <w:tr w:rsidR="00E40D46" w14:paraId="5C8D1F86" w14:textId="77777777" w:rsidTr="0067610E">
        <w:tc>
          <w:tcPr>
            <w:tcW w:w="645" w:type="pct"/>
            <w:shd w:val="clear" w:color="auto" w:fill="E1E3F2"/>
          </w:tcPr>
          <w:p w14:paraId="2606909B" w14:textId="77777777" w:rsidR="00E40D46" w:rsidRPr="00E40D46" w:rsidRDefault="00E40D46">
            <w:pPr>
              <w:pStyle w:val="TabletextrowsAgency"/>
            </w:pPr>
            <w:r w:rsidRPr="00E40D46">
              <w:t>462</w:t>
            </w:r>
          </w:p>
        </w:tc>
        <w:tc>
          <w:tcPr>
            <w:tcW w:w="812" w:type="pct"/>
            <w:shd w:val="clear" w:color="auto" w:fill="E1E3F2"/>
          </w:tcPr>
          <w:p w14:paraId="64E662B9" w14:textId="77777777" w:rsidR="00E40D46" w:rsidRDefault="00E40D46">
            <w:pPr>
              <w:pStyle w:val="TabletextrowsAgency"/>
            </w:pPr>
          </w:p>
        </w:tc>
        <w:tc>
          <w:tcPr>
            <w:tcW w:w="2006" w:type="pct"/>
            <w:shd w:val="clear" w:color="auto" w:fill="E1E3F2"/>
          </w:tcPr>
          <w:p w14:paraId="756639EE" w14:textId="77777777" w:rsidR="001A65E9" w:rsidRDefault="001A65E9" w:rsidP="00E40D46">
            <w:pPr>
              <w:pStyle w:val="TabletextrowsAgency"/>
            </w:pPr>
            <w:r>
              <w:t>Comment</w:t>
            </w:r>
            <w:r w:rsidRPr="001A65E9">
              <w:t>:</w:t>
            </w:r>
          </w:p>
          <w:p w14:paraId="6DC960C9" w14:textId="77777777" w:rsidR="00E40D46" w:rsidRPr="00E40D46" w:rsidRDefault="00E40D46" w:rsidP="00E40D46">
            <w:pPr>
              <w:pStyle w:val="TabletextrowsAgency"/>
            </w:pPr>
            <w:r w:rsidRPr="00E40D46">
              <w:t>It should be clarified that if ATMPs and non-AMTPs are manufactured in separate closed systems, then they can be manufactured in the same facility (see comment to line 461 above) because closed system should be considered as physical segregation.</w:t>
            </w:r>
          </w:p>
        </w:tc>
        <w:tc>
          <w:tcPr>
            <w:tcW w:w="1537" w:type="pct"/>
            <w:shd w:val="clear" w:color="auto" w:fill="E1E3F2"/>
          </w:tcPr>
          <w:p w14:paraId="6192ECA3" w14:textId="77777777" w:rsidR="00E40D46" w:rsidRPr="00561BA0" w:rsidRDefault="00E40D46">
            <w:pPr>
              <w:pStyle w:val="TabletextrowsAgency"/>
            </w:pPr>
          </w:p>
        </w:tc>
      </w:tr>
      <w:tr w:rsidR="001A65E9" w14:paraId="3926EF75" w14:textId="77777777" w:rsidTr="0067610E">
        <w:tc>
          <w:tcPr>
            <w:tcW w:w="645" w:type="pct"/>
            <w:shd w:val="clear" w:color="auto" w:fill="E1E3F2"/>
          </w:tcPr>
          <w:p w14:paraId="2CFF509E" w14:textId="77777777" w:rsidR="001A65E9" w:rsidRPr="00E40D46" w:rsidRDefault="001A65E9">
            <w:pPr>
              <w:pStyle w:val="TabletextrowsAgency"/>
            </w:pPr>
            <w:r w:rsidRPr="001A65E9">
              <w:t>481-483</w:t>
            </w:r>
          </w:p>
        </w:tc>
        <w:tc>
          <w:tcPr>
            <w:tcW w:w="812" w:type="pct"/>
            <w:shd w:val="clear" w:color="auto" w:fill="E1E3F2"/>
          </w:tcPr>
          <w:p w14:paraId="59C47751" w14:textId="77777777" w:rsidR="001A65E9" w:rsidRDefault="001A65E9">
            <w:pPr>
              <w:pStyle w:val="TabletextrowsAgency"/>
            </w:pPr>
          </w:p>
        </w:tc>
        <w:tc>
          <w:tcPr>
            <w:tcW w:w="2006" w:type="pct"/>
            <w:shd w:val="clear" w:color="auto" w:fill="E1E3F2"/>
          </w:tcPr>
          <w:p w14:paraId="612247EC" w14:textId="77777777" w:rsidR="001A65E9" w:rsidRDefault="001A65E9" w:rsidP="00E40D46">
            <w:pPr>
              <w:pStyle w:val="TabletextrowsAgency"/>
            </w:pPr>
            <w:r>
              <w:t>Comment:</w:t>
            </w:r>
          </w:p>
          <w:p w14:paraId="7B2E1F58" w14:textId="77777777" w:rsidR="001A65E9" w:rsidRPr="001A65E9" w:rsidRDefault="001A65E9" w:rsidP="001A65E9">
            <w:pPr>
              <w:pStyle w:val="TabletextrowsAgency"/>
            </w:pPr>
            <w:r w:rsidRPr="001A65E9">
              <w:t>It should be clarified that „contaminated materials“ are e.g. patient material or waste material (definition of “contaminated materials”).</w:t>
            </w:r>
          </w:p>
        </w:tc>
        <w:tc>
          <w:tcPr>
            <w:tcW w:w="1537" w:type="pct"/>
            <w:shd w:val="clear" w:color="auto" w:fill="E1E3F2"/>
          </w:tcPr>
          <w:p w14:paraId="3375616A" w14:textId="77777777" w:rsidR="001A65E9" w:rsidRPr="00561BA0" w:rsidRDefault="001A65E9">
            <w:pPr>
              <w:pStyle w:val="TabletextrowsAgency"/>
            </w:pPr>
          </w:p>
        </w:tc>
      </w:tr>
      <w:tr w:rsidR="001A65E9" w14:paraId="6BC39D8C" w14:textId="77777777" w:rsidTr="0067610E">
        <w:tc>
          <w:tcPr>
            <w:tcW w:w="645" w:type="pct"/>
            <w:shd w:val="clear" w:color="auto" w:fill="E1E3F2"/>
          </w:tcPr>
          <w:p w14:paraId="25BD2E14" w14:textId="77777777" w:rsidR="001A65E9" w:rsidRPr="00E40D46" w:rsidRDefault="001A65E9">
            <w:pPr>
              <w:pStyle w:val="TabletextrowsAgency"/>
            </w:pPr>
            <w:r w:rsidRPr="001A65E9">
              <w:t>506-507</w:t>
            </w:r>
          </w:p>
        </w:tc>
        <w:tc>
          <w:tcPr>
            <w:tcW w:w="812" w:type="pct"/>
            <w:shd w:val="clear" w:color="auto" w:fill="E1E3F2"/>
          </w:tcPr>
          <w:p w14:paraId="659D6F2F" w14:textId="77777777" w:rsidR="001A65E9" w:rsidRDefault="001A65E9">
            <w:pPr>
              <w:pStyle w:val="TabletextrowsAgency"/>
            </w:pPr>
          </w:p>
        </w:tc>
        <w:tc>
          <w:tcPr>
            <w:tcW w:w="2006" w:type="pct"/>
            <w:shd w:val="clear" w:color="auto" w:fill="E1E3F2"/>
          </w:tcPr>
          <w:p w14:paraId="63BF4792" w14:textId="77777777" w:rsidR="001A65E9" w:rsidRDefault="001A65E9" w:rsidP="00E40D46">
            <w:pPr>
              <w:pStyle w:val="TabletextrowsAgency"/>
            </w:pPr>
            <w:r>
              <w:t>Comment</w:t>
            </w:r>
            <w:r w:rsidRPr="001A65E9">
              <w:t>:</w:t>
            </w:r>
          </w:p>
          <w:p w14:paraId="3C29A2A7" w14:textId="77777777" w:rsidR="001A65E9" w:rsidRPr="001A65E9" w:rsidRDefault="001A65E9" w:rsidP="001A65E9">
            <w:pPr>
              <w:pStyle w:val="TabletextrowsAgency"/>
            </w:pPr>
            <w:r w:rsidRPr="001A65E9">
              <w:t>This statement is supported strongly.</w:t>
            </w:r>
          </w:p>
        </w:tc>
        <w:tc>
          <w:tcPr>
            <w:tcW w:w="1537" w:type="pct"/>
            <w:shd w:val="clear" w:color="auto" w:fill="E1E3F2"/>
          </w:tcPr>
          <w:p w14:paraId="2451A8C0" w14:textId="77777777" w:rsidR="001A65E9" w:rsidRPr="00561BA0" w:rsidRDefault="001A65E9">
            <w:pPr>
              <w:pStyle w:val="TabletextrowsAgency"/>
            </w:pPr>
          </w:p>
        </w:tc>
      </w:tr>
      <w:tr w:rsidR="001A65E9" w14:paraId="22AF814C" w14:textId="77777777" w:rsidTr="0067610E">
        <w:tc>
          <w:tcPr>
            <w:tcW w:w="645" w:type="pct"/>
            <w:shd w:val="clear" w:color="auto" w:fill="E1E3F2"/>
          </w:tcPr>
          <w:p w14:paraId="4A7FEEDB" w14:textId="77777777" w:rsidR="001A65E9" w:rsidRPr="00E40D46" w:rsidRDefault="001A65E9">
            <w:pPr>
              <w:pStyle w:val="TabletextrowsAgency"/>
            </w:pPr>
            <w:r w:rsidRPr="001A65E9">
              <w:t>516-519</w:t>
            </w:r>
          </w:p>
        </w:tc>
        <w:tc>
          <w:tcPr>
            <w:tcW w:w="812" w:type="pct"/>
            <w:shd w:val="clear" w:color="auto" w:fill="E1E3F2"/>
          </w:tcPr>
          <w:p w14:paraId="28FB3016" w14:textId="77777777" w:rsidR="001A65E9" w:rsidRDefault="001A65E9">
            <w:pPr>
              <w:pStyle w:val="TabletextrowsAgency"/>
            </w:pPr>
          </w:p>
        </w:tc>
        <w:tc>
          <w:tcPr>
            <w:tcW w:w="2006" w:type="pct"/>
            <w:shd w:val="clear" w:color="auto" w:fill="E1E3F2"/>
          </w:tcPr>
          <w:p w14:paraId="47707E61" w14:textId="77777777" w:rsidR="001A65E9" w:rsidRDefault="001A65E9" w:rsidP="00E40D46">
            <w:pPr>
              <w:pStyle w:val="TabletextrowsAgency"/>
            </w:pPr>
            <w:r>
              <w:t>Comment</w:t>
            </w:r>
            <w:r w:rsidRPr="001A65E9">
              <w:t>:</w:t>
            </w:r>
          </w:p>
          <w:p w14:paraId="41AD2688" w14:textId="77777777" w:rsidR="001A65E9" w:rsidRPr="001A65E9" w:rsidRDefault="001A65E9" w:rsidP="00E40D46">
            <w:pPr>
              <w:pStyle w:val="TabletextrowsAgency"/>
            </w:pPr>
            <w:r w:rsidRPr="001A65E9">
              <w:t>contradiction to line 322</w:t>
            </w:r>
          </w:p>
        </w:tc>
        <w:tc>
          <w:tcPr>
            <w:tcW w:w="1537" w:type="pct"/>
            <w:shd w:val="clear" w:color="auto" w:fill="E1E3F2"/>
          </w:tcPr>
          <w:p w14:paraId="2AABFA56" w14:textId="77777777" w:rsidR="001A65E9" w:rsidRPr="00561BA0" w:rsidRDefault="001A65E9">
            <w:pPr>
              <w:pStyle w:val="TabletextrowsAgency"/>
            </w:pPr>
          </w:p>
        </w:tc>
      </w:tr>
      <w:tr w:rsidR="00CF6077" w:rsidRPr="00CF6077" w14:paraId="53BA1B5A" w14:textId="77777777" w:rsidTr="00CF6077">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42000219" w14:textId="77777777" w:rsidR="00CF6077" w:rsidRDefault="00CF6077">
            <w:pPr>
              <w:pStyle w:val="TabletextrowsAgency"/>
            </w:pPr>
            <w:r>
              <w:t>(Line 529), foot note 6</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155D497C" w14:textId="77777777" w:rsidR="00CF6077" w:rsidRDefault="00CF6077">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36D8C9B4" w14:textId="77777777" w:rsidR="00CF6077" w:rsidRDefault="00CF6077">
            <w:pPr>
              <w:pStyle w:val="TabletextrowsAgency"/>
            </w:pPr>
            <w:r>
              <w:t>Comment: The phrasing “should be measured after a short clean-up period” for at rest measurement implies that at rest measurements could only be performed after passing through an operational state recently. Retain wording of current Annex 1.</w:t>
            </w:r>
          </w:p>
          <w:p w14:paraId="35BEC5F3" w14:textId="77777777" w:rsidR="00CF6077" w:rsidRDefault="00CF6077">
            <w:pPr>
              <w:pStyle w:val="TabletextrowsAgency"/>
            </w:pPr>
            <w:r>
              <w:t>Proposed change:</w:t>
            </w:r>
          </w:p>
          <w:p w14:paraId="72BCC0A8" w14:textId="77777777" w:rsidR="00CF6077" w:rsidRDefault="00CF6077">
            <w:pPr>
              <w:pStyle w:val="TabletextrowsAgency"/>
            </w:pPr>
            <w:r>
              <w:t xml:space="preserve">The particle limits should be </w:t>
            </w:r>
            <w:r w:rsidRPr="00A97AAF">
              <w:rPr>
                <w:strike/>
                <w:color w:val="C00000"/>
              </w:rPr>
              <w:t>measured</w:t>
            </w:r>
            <w:r>
              <w:t xml:space="preserve"> </w:t>
            </w:r>
            <w:r w:rsidRPr="00187FED">
              <w:rPr>
                <w:color w:val="4F81BD"/>
              </w:rPr>
              <w:t>achieved</w:t>
            </w:r>
            <w:r>
              <w:t xml:space="preserve"> after a short “clean up period” of approximatively 15-20 minutes after completion of operations.</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4E37F4E0" w14:textId="77777777" w:rsidR="00CF6077" w:rsidRDefault="00CF6077">
            <w:pPr>
              <w:pStyle w:val="TabletextrowsAgency"/>
            </w:pPr>
          </w:p>
        </w:tc>
      </w:tr>
      <w:tr w:rsidR="00CF6077" w:rsidRPr="00B822FC" w14:paraId="22E0C5C5" w14:textId="7B374E3E" w:rsidTr="00CF6077">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25B82DB4" w14:textId="256A4FF3" w:rsidR="00CF6077" w:rsidRDefault="00CF6077" w:rsidP="00187FED">
            <w:pPr>
              <w:pStyle w:val="TabletextrowsAgency"/>
            </w:pPr>
            <w:r>
              <w:t>546</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25BE1C59" w14:textId="7A89DA0A" w:rsidR="00CF6077" w:rsidRDefault="00CF6077" w:rsidP="00187FED">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7737C3F0" w14:textId="77777777" w:rsidR="0039084A" w:rsidRDefault="0039084A" w:rsidP="00187FED">
            <w:pPr>
              <w:pStyle w:val="TabletextrowsAgency"/>
            </w:pPr>
            <w:r>
              <w:t>Comment:</w:t>
            </w:r>
          </w:p>
          <w:p w14:paraId="09524087" w14:textId="53E79B25" w:rsidR="00CF6077" w:rsidRDefault="0039084A" w:rsidP="00187FED">
            <w:pPr>
              <w:pStyle w:val="TabletextrowsAgency"/>
            </w:pPr>
            <w:r w:rsidRPr="0039084A">
              <w:t>It is unclear exactly what is required by the following sentence. “Additionally, monitoring “at rest” should be performed as appropriate in order to identify potential incidents (e.g. prior to the start of manufacturing and post sanitization)”.</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33822561" w14:textId="01DEB4A2" w:rsidR="00CF6077" w:rsidRPr="00561BA0" w:rsidRDefault="00CF6077" w:rsidP="00187FED">
            <w:pPr>
              <w:pStyle w:val="TabletextrowsAgency"/>
            </w:pPr>
          </w:p>
        </w:tc>
      </w:tr>
      <w:tr w:rsidR="00537F3B" w:rsidRPr="00B822FC" w14:paraId="0A0B515D" w14:textId="77777777" w:rsidTr="00537F3B">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240FCDA4" w14:textId="3164C4CD" w:rsidR="00537F3B" w:rsidRDefault="00537F3B" w:rsidP="003976B1">
            <w:pPr>
              <w:pStyle w:val="TabletextrowsAgency"/>
            </w:pPr>
            <w:r>
              <w:t>561-568</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0D50D377" w14:textId="77777777" w:rsidR="00537F3B" w:rsidRDefault="00537F3B" w:rsidP="003976B1">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70CD2942" w14:textId="77777777" w:rsidR="00537F3B" w:rsidRDefault="00537F3B" w:rsidP="003976B1">
            <w:pPr>
              <w:pStyle w:val="TabletextrowsAgency"/>
            </w:pPr>
            <w:r>
              <w:t>Comment</w:t>
            </w:r>
            <w:r w:rsidRPr="00B822FC">
              <w:t>:</w:t>
            </w:r>
          </w:p>
          <w:p w14:paraId="09B4CF8D" w14:textId="04ED328F" w:rsidR="00537F3B" w:rsidRDefault="00537F3B" w:rsidP="003976B1">
            <w:pPr>
              <w:pStyle w:val="TabletextrowsAgency"/>
            </w:pPr>
            <w:r>
              <w:t xml:space="preserve">It should be clearly written that particle monitoring in class B clean rooms </w:t>
            </w:r>
            <w:r w:rsidR="00E75854">
              <w:t xml:space="preserve">need </w:t>
            </w:r>
            <w:r>
              <w:t xml:space="preserve">not be performed for the full duration of critical processing (only for </w:t>
            </w:r>
            <w:r w:rsidR="00E75854">
              <w:t xml:space="preserve">grade </w:t>
            </w:r>
            <w:r>
              <w:t>A).</w:t>
            </w:r>
          </w:p>
          <w:p w14:paraId="788B1063" w14:textId="77777777" w:rsidR="00537F3B" w:rsidRDefault="00537F3B" w:rsidP="003976B1">
            <w:pPr>
              <w:pStyle w:val="TabletextrowsAgency"/>
            </w:pPr>
            <w:r w:rsidRPr="00B822FC">
              <w:t>Proposed change (if any):</w:t>
            </w:r>
          </w:p>
          <w:p w14:paraId="0A00A0B3" w14:textId="77777777" w:rsidR="00537F3B" w:rsidRDefault="00537F3B" w:rsidP="003976B1">
            <w:pPr>
              <w:pStyle w:val="TabletextrowsAgency"/>
            </w:pPr>
            <w:r>
              <w:t>Adding an additional sentence that reflects this issue.</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5521BAE2" w14:textId="2A9C7F99" w:rsidR="00537F3B" w:rsidRPr="00561BA0" w:rsidRDefault="00537F3B" w:rsidP="00E75854">
            <w:pPr>
              <w:pStyle w:val="TabletextrowsAgency"/>
            </w:pPr>
          </w:p>
        </w:tc>
      </w:tr>
      <w:tr w:rsidR="001A65E9" w14:paraId="72A39A6A" w14:textId="77777777" w:rsidTr="0067610E">
        <w:tc>
          <w:tcPr>
            <w:tcW w:w="645" w:type="pct"/>
            <w:shd w:val="clear" w:color="auto" w:fill="E1E3F2"/>
          </w:tcPr>
          <w:p w14:paraId="6F3D076B" w14:textId="77777777" w:rsidR="001A65E9" w:rsidRPr="00E40D46" w:rsidRDefault="001A65E9">
            <w:pPr>
              <w:pStyle w:val="TabletextrowsAgency"/>
            </w:pPr>
            <w:r w:rsidRPr="001A65E9">
              <w:t>659 f</w:t>
            </w:r>
            <w:r>
              <w:t>.</w:t>
            </w:r>
          </w:p>
        </w:tc>
        <w:tc>
          <w:tcPr>
            <w:tcW w:w="812" w:type="pct"/>
            <w:shd w:val="clear" w:color="auto" w:fill="E1E3F2"/>
          </w:tcPr>
          <w:p w14:paraId="13527B46" w14:textId="77777777" w:rsidR="001A65E9" w:rsidRDefault="001A65E9">
            <w:pPr>
              <w:pStyle w:val="TabletextrowsAgency"/>
            </w:pPr>
          </w:p>
        </w:tc>
        <w:tc>
          <w:tcPr>
            <w:tcW w:w="2006" w:type="pct"/>
            <w:shd w:val="clear" w:color="auto" w:fill="E1E3F2"/>
          </w:tcPr>
          <w:p w14:paraId="5E4FF961" w14:textId="77777777" w:rsidR="001A65E9" w:rsidRDefault="001A65E9" w:rsidP="001A65E9">
            <w:pPr>
              <w:pStyle w:val="TabletextrowsAgency"/>
            </w:pPr>
            <w:r>
              <w:t xml:space="preserve">Comment: </w:t>
            </w:r>
            <w:r w:rsidRPr="001A65E9">
              <w:rPr>
                <w:i/>
              </w:rPr>
              <w:t xml:space="preserve">„The location and installation of the equipment should be adequate to minimize risks of errors or contamination. Aseptic connections should be performed in a critical clean area of grade A with a background clean area of grade B.“ </w:t>
            </w:r>
          </w:p>
          <w:p w14:paraId="3D1EECFC" w14:textId="77777777" w:rsidR="001A65E9" w:rsidRDefault="001A65E9" w:rsidP="001A65E9">
            <w:pPr>
              <w:pStyle w:val="TabletextrowsAgency"/>
            </w:pPr>
            <w:r>
              <w:t xml:space="preserve">For first in man trials it is accepted to make connections in an A in C area (line 322 f.), which contradicts the statement above. </w:t>
            </w:r>
          </w:p>
          <w:p w14:paraId="667644DB" w14:textId="77777777" w:rsidR="001A65E9" w:rsidRDefault="001A65E9" w:rsidP="001A65E9">
            <w:pPr>
              <w:pStyle w:val="TabletextrowsAgency"/>
            </w:pPr>
          </w:p>
          <w:p w14:paraId="623C6012" w14:textId="77777777" w:rsidR="001A65E9" w:rsidRDefault="001A65E9" w:rsidP="001A65E9">
            <w:pPr>
              <w:pStyle w:val="TabletextrowsAgency"/>
            </w:pPr>
            <w:r w:rsidRPr="001A65E9">
              <w:t>Proposed change (if any):</w:t>
            </w:r>
          </w:p>
          <w:p w14:paraId="413E7C90" w14:textId="77777777" w:rsidR="001A65E9" w:rsidRPr="001A65E9" w:rsidRDefault="001A65E9" w:rsidP="001A65E9">
            <w:pPr>
              <w:pStyle w:val="TabletextrowsAgency"/>
            </w:pPr>
            <w:r>
              <w:t>Thus, we suggest to add the same sentence to the statement in lines 659 f. as well in order to harmonize the requirements.</w:t>
            </w:r>
          </w:p>
        </w:tc>
        <w:tc>
          <w:tcPr>
            <w:tcW w:w="1537" w:type="pct"/>
            <w:shd w:val="clear" w:color="auto" w:fill="E1E3F2"/>
          </w:tcPr>
          <w:p w14:paraId="153D7AFB" w14:textId="77777777" w:rsidR="001A65E9" w:rsidRPr="00561BA0" w:rsidRDefault="001A65E9">
            <w:pPr>
              <w:pStyle w:val="TabletextrowsAgency"/>
            </w:pPr>
          </w:p>
        </w:tc>
      </w:tr>
      <w:tr w:rsidR="00CF6077" w:rsidRPr="00B822FC" w14:paraId="697EA724" w14:textId="77777777" w:rsidTr="00CF6077">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18D74A15" w14:textId="77777777" w:rsidR="00CF6077" w:rsidRPr="00A97AAF" w:rsidRDefault="00CF6077" w:rsidP="00187FED">
            <w:pPr>
              <w:pStyle w:val="TabletextrowsAgency"/>
              <w:rPr>
                <w:color w:val="C00000"/>
              </w:rPr>
            </w:pPr>
            <w:r w:rsidRPr="004910E7">
              <w:t>660-661</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1641D149" w14:textId="77777777" w:rsidR="00CF6077" w:rsidRDefault="00CF6077" w:rsidP="00187FED">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7606A632" w14:textId="77777777" w:rsidR="00CF6077" w:rsidRDefault="00CF6077" w:rsidP="00187FED">
            <w:pPr>
              <w:pStyle w:val="TabletextrowsAgency"/>
            </w:pPr>
            <w:r>
              <w:t>Comment: Aseptic connections can also be done by sterile tube welding (functionally closed systems) which do not need a grade A in B. Current wording is too categorical.</w:t>
            </w:r>
          </w:p>
          <w:p w14:paraId="7822D3B5" w14:textId="77777777" w:rsidR="00CF6077" w:rsidRPr="00B822FC" w:rsidRDefault="00CF6077" w:rsidP="00187FED">
            <w:pPr>
              <w:pStyle w:val="TabletextrowsAgency"/>
            </w:pPr>
            <w:r>
              <w:t>Proposed change</w:t>
            </w:r>
            <w:r w:rsidRPr="00B822FC">
              <w:t>:</w:t>
            </w:r>
            <w:r>
              <w:t xml:space="preserve"> Add</w:t>
            </w:r>
          </w:p>
          <w:p w14:paraId="6B20B738" w14:textId="24950C09" w:rsidR="00CF6077" w:rsidRPr="00187FED" w:rsidRDefault="00CF6077" w:rsidP="004910E7">
            <w:pPr>
              <w:pStyle w:val="TabletextrowsAgency"/>
              <w:rPr>
                <w:color w:val="4F81BD"/>
              </w:rPr>
            </w:pPr>
            <w:r w:rsidRPr="00187FED">
              <w:rPr>
                <w:color w:val="4F81BD"/>
              </w:rPr>
              <w:t xml:space="preserve">Aseptic connections can also be </w:t>
            </w:r>
            <w:r w:rsidR="004910E7">
              <w:rPr>
                <w:color w:val="4F81BD"/>
              </w:rPr>
              <w:t>made using a functionally closed system such as</w:t>
            </w:r>
            <w:r w:rsidRPr="00187FED">
              <w:rPr>
                <w:color w:val="4F81BD"/>
              </w:rPr>
              <w:t xml:space="preserve"> sterile tube welding.</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6121D1E8" w14:textId="77777777" w:rsidR="00CF6077" w:rsidRPr="00561BA0" w:rsidRDefault="00CF6077" w:rsidP="00187FED">
            <w:pPr>
              <w:pStyle w:val="TabletextrowsAgency"/>
            </w:pPr>
          </w:p>
        </w:tc>
      </w:tr>
      <w:tr w:rsidR="00CF6077" w:rsidRPr="00B822FC" w14:paraId="349C43F1" w14:textId="77777777" w:rsidTr="00CF6077">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1C85BEFF" w14:textId="77777777" w:rsidR="00CF6077" w:rsidRDefault="00CF6077" w:rsidP="00187FED">
            <w:pPr>
              <w:pStyle w:val="TabletextrowsAgency"/>
            </w:pPr>
            <w:r>
              <w:t>765-766</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51FCF641" w14:textId="77777777" w:rsidR="00CF6077" w:rsidRDefault="00CF6077" w:rsidP="00187FED">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70800F9A" w14:textId="77777777" w:rsidR="00CF6077" w:rsidRDefault="00CF6077" w:rsidP="00187FED">
            <w:pPr>
              <w:pStyle w:val="TabletextrowsAgency"/>
            </w:pPr>
            <w:r>
              <w:t xml:space="preserve">Comment: Imagine an autologous bulk product is filled into a series of 10 cryovials and cryopreserved. Why should each </w:t>
            </w:r>
            <w:r w:rsidRPr="00986334">
              <w:t>unit</w:t>
            </w:r>
            <w:r>
              <w:t xml:space="preserve"> (cryovial) be considered a distinct batch?</w:t>
            </w:r>
          </w:p>
          <w:p w14:paraId="7BE367AD" w14:textId="77777777" w:rsidR="00CF6077" w:rsidRDefault="00CF6077" w:rsidP="00187FED">
            <w:pPr>
              <w:pStyle w:val="TabletextrowsAgency"/>
            </w:pPr>
            <w:r>
              <w:t>Proposed change</w:t>
            </w:r>
            <w:r w:rsidRPr="00B822FC">
              <w:t>:</w:t>
            </w:r>
          </w:p>
          <w:p w14:paraId="5E0D44DE" w14:textId="77777777" w:rsidR="00CF6077" w:rsidRDefault="00CF6077" w:rsidP="00187FED">
            <w:pPr>
              <w:pStyle w:val="TabletextrowsAgency"/>
            </w:pPr>
            <w:r>
              <w:t xml:space="preserve">Batch definition. </w:t>
            </w:r>
            <w:r w:rsidRPr="00A97AAF">
              <w:rPr>
                <w:strike/>
                <w:color w:val="C00000"/>
              </w:rPr>
              <w:t>For autologous products, each unit should be considered a distinct batch.</w:t>
            </w:r>
            <w:r w:rsidRPr="00A14B68">
              <w:t xml:space="preserve"> </w:t>
            </w:r>
            <w:r w:rsidRPr="00187FED">
              <w:rPr>
                <w:color w:val="4F81BD"/>
              </w:rPr>
              <w:t>A defined quantity of starting material, packaging material or product processed in one process or single series of manufacturing operations (incl. a single series of sterilisation operations) so that it could be expected to be homogeneous.</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3E17DD94" w14:textId="77777777" w:rsidR="00CF6077" w:rsidRPr="00561BA0" w:rsidRDefault="00CF6077" w:rsidP="00187FED">
            <w:pPr>
              <w:pStyle w:val="TabletextrowsAgency"/>
            </w:pPr>
          </w:p>
        </w:tc>
      </w:tr>
      <w:tr w:rsidR="00537F3B" w:rsidRPr="00B822FC" w14:paraId="04028F3A" w14:textId="77777777" w:rsidTr="00537F3B">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7FAC8811" w14:textId="77777777" w:rsidR="00537F3B" w:rsidRDefault="00537F3B" w:rsidP="003976B1">
            <w:pPr>
              <w:pStyle w:val="TabletextrowsAgency"/>
            </w:pPr>
            <w:r>
              <w:t>798</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18ECFDE6" w14:textId="77777777" w:rsidR="00537F3B" w:rsidRDefault="00537F3B" w:rsidP="003976B1">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56D50EA2" w14:textId="77777777" w:rsidR="00537F3B" w:rsidRDefault="00537F3B" w:rsidP="003976B1">
            <w:pPr>
              <w:pStyle w:val="TabletextrowsAgency"/>
            </w:pPr>
            <w:r>
              <w:t>Comment</w:t>
            </w:r>
            <w:r w:rsidRPr="00B822FC">
              <w:t>:</w:t>
            </w:r>
          </w:p>
          <w:p w14:paraId="469F51E4" w14:textId="77777777" w:rsidR="00537F3B" w:rsidRDefault="00537F3B" w:rsidP="003976B1">
            <w:pPr>
              <w:pStyle w:val="TabletextrowsAgency"/>
            </w:pPr>
            <w:r>
              <w:t>What is meant with “manufacturing order”?</w:t>
            </w:r>
          </w:p>
          <w:p w14:paraId="69156706" w14:textId="77777777" w:rsidR="00537F3B" w:rsidRDefault="00537F3B" w:rsidP="003976B1">
            <w:pPr>
              <w:pStyle w:val="TabletextrowsAgency"/>
            </w:pPr>
            <w:r w:rsidRPr="00B822FC">
              <w:t>Proposed change (if any):</w:t>
            </w:r>
          </w:p>
          <w:p w14:paraId="751E5127" w14:textId="77777777" w:rsidR="00537F3B" w:rsidRDefault="00537F3B" w:rsidP="003976B1">
            <w:pPr>
              <w:pStyle w:val="TabletextrowsAgency"/>
            </w:pPr>
            <w:r>
              <w:t>Clarification of this wording.</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271C4EAA" w14:textId="77777777" w:rsidR="00537F3B" w:rsidRPr="00561BA0" w:rsidRDefault="00537F3B" w:rsidP="003976B1">
            <w:pPr>
              <w:pStyle w:val="TabletextrowsAgency"/>
            </w:pPr>
          </w:p>
        </w:tc>
      </w:tr>
      <w:tr w:rsidR="00537F3B" w:rsidRPr="00B822FC" w14:paraId="1F116065" w14:textId="77777777" w:rsidTr="00537F3B">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713D51C6" w14:textId="77777777" w:rsidR="00537F3B" w:rsidRDefault="00537F3B" w:rsidP="003976B1">
            <w:pPr>
              <w:pStyle w:val="TabletextrowsAgency"/>
            </w:pPr>
            <w:r>
              <w:t>865-870</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5877117D" w14:textId="77777777" w:rsidR="00537F3B" w:rsidRDefault="00537F3B" w:rsidP="003976B1">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6AE6CC4A" w14:textId="46DE89C0" w:rsidR="00537F3B" w:rsidRDefault="00537F3B" w:rsidP="003976B1">
            <w:pPr>
              <w:pStyle w:val="TabletextrowsAgency"/>
            </w:pPr>
            <w:r>
              <w:t>Comment</w:t>
            </w:r>
            <w:r w:rsidRPr="00B822FC">
              <w:t>:</w:t>
            </w:r>
            <w:r>
              <w:t xml:space="preserve"> The shorter time lines mentioned </w:t>
            </w:r>
            <w:r w:rsidR="00FC4699">
              <w:t xml:space="preserve">in </w:t>
            </w:r>
            <w:r>
              <w:t>6.5. are from the practical standpoint in conflict to the data mentioned in 6.6. (to the 30 years). Most of the issues mentioned in 6.6 (line 889-909) are more or less part of a typical batch record/are integrated into the batch record. Writing “Batch documentation (i.e. documents in the batch processing record……) should be kept for one year after expiry of the batch or at least five years after certification……” isn’t really practically and is quite confusing. It’s impossible to look after 1 or 5 years into the huge amount of bulky batch records of autologous products and divide into issues that are important for traceability (and must be archived further) and into issues that can be destroyed.</w:t>
            </w:r>
          </w:p>
          <w:p w14:paraId="33381198" w14:textId="77777777" w:rsidR="00537F3B" w:rsidRDefault="00537F3B" w:rsidP="003976B1">
            <w:pPr>
              <w:pStyle w:val="TabletextrowsAgency"/>
            </w:pPr>
            <w:r w:rsidRPr="00B822FC">
              <w:t>Proposed change (if any):</w:t>
            </w:r>
          </w:p>
          <w:p w14:paraId="0907BE7A" w14:textId="77777777" w:rsidR="00537F3B" w:rsidRDefault="00537F3B" w:rsidP="003976B1">
            <w:pPr>
              <w:pStyle w:val="TabletextrowsAgency"/>
            </w:pPr>
            <w:r>
              <w:t>Clarification in regard to the time lines. If possible harmonization.</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09230206" w14:textId="77777777" w:rsidR="00537F3B" w:rsidRPr="00561BA0" w:rsidRDefault="00537F3B" w:rsidP="003976B1">
            <w:pPr>
              <w:pStyle w:val="TabletextrowsAgency"/>
            </w:pPr>
          </w:p>
        </w:tc>
      </w:tr>
      <w:tr w:rsidR="00CF6077" w:rsidRPr="00B822FC" w14:paraId="4BC94894" w14:textId="77777777" w:rsidTr="00CF6077">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78ABCFB7" w14:textId="77777777" w:rsidR="00CF6077" w:rsidRDefault="00CF6077" w:rsidP="00187FED">
            <w:pPr>
              <w:pStyle w:val="TabletextrowsAgency"/>
            </w:pPr>
            <w:r>
              <w:t>(Line 929), foot note 14</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724C9531" w14:textId="77777777" w:rsidR="00CF6077" w:rsidRDefault="00CF6077" w:rsidP="00187FED">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7F04606C" w14:textId="77777777" w:rsidR="00CF6077" w:rsidRDefault="00CF6077" w:rsidP="00187FED">
            <w:pPr>
              <w:pStyle w:val="TabletextrowsAgency"/>
            </w:pPr>
            <w:r>
              <w:t>Comment: 2.6.12 is on bioburden – not sterility</w:t>
            </w:r>
          </w:p>
          <w:p w14:paraId="65F41787" w14:textId="77777777" w:rsidR="00CF6077" w:rsidRDefault="00CF6077" w:rsidP="00187FED">
            <w:pPr>
              <w:pStyle w:val="TabletextrowsAgency"/>
            </w:pPr>
            <w:r>
              <w:t>Proposed change</w:t>
            </w:r>
            <w:r w:rsidRPr="00B822FC">
              <w:t>:</w:t>
            </w:r>
          </w:p>
          <w:p w14:paraId="60377F77" w14:textId="77777777" w:rsidR="00CF6077" w:rsidRDefault="00CF6077" w:rsidP="00187FED">
            <w:pPr>
              <w:pStyle w:val="TabletextrowsAgency"/>
            </w:pPr>
            <w:r w:rsidRPr="000F2321">
              <w:t>Ph.Eur. chapter 2.6.1</w:t>
            </w:r>
            <w:r w:rsidRPr="00A97AAF">
              <w:rPr>
                <w:strike/>
                <w:color w:val="C00000"/>
              </w:rPr>
              <w:t>2</w:t>
            </w:r>
            <w:r w:rsidRPr="000F2321">
              <w:t xml:space="preserve"> on sterility testing describes the use of neutralising substances for products containing antibiotics.</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4C21E7E0" w14:textId="77777777" w:rsidR="00CF6077" w:rsidRPr="00561BA0" w:rsidRDefault="00CF6077" w:rsidP="00187FED">
            <w:pPr>
              <w:pStyle w:val="TabletextrowsAgency"/>
            </w:pPr>
          </w:p>
        </w:tc>
      </w:tr>
      <w:tr w:rsidR="00CF6077" w:rsidRPr="00B822FC" w14:paraId="4702E965" w14:textId="77777777" w:rsidTr="00CF6077">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03F22532" w14:textId="77777777" w:rsidR="00CF6077" w:rsidRDefault="00CF6077" w:rsidP="00187FED">
            <w:pPr>
              <w:pStyle w:val="TabletextrowsAgency"/>
            </w:pPr>
            <w:r>
              <w:t>Lines 957</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7B8990F4" w14:textId="77777777" w:rsidR="00CF6077" w:rsidRDefault="00CF6077" w:rsidP="00187FED">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678ADDC5" w14:textId="77777777" w:rsidR="00CF6077" w:rsidRDefault="00CF6077" w:rsidP="00187FED">
            <w:pPr>
              <w:pStyle w:val="TabletextrowsAgency"/>
            </w:pPr>
            <w:r>
              <w:t>Comment: It would be helpful to clarify expectations on identity testing.</w:t>
            </w:r>
          </w:p>
          <w:p w14:paraId="556AB598" w14:textId="77777777" w:rsidR="00CF6077" w:rsidRDefault="00CF6077" w:rsidP="00187FED">
            <w:pPr>
              <w:pStyle w:val="TabletextrowsAgency"/>
            </w:pPr>
            <w:r>
              <w:t>Proposed change</w:t>
            </w:r>
            <w:r w:rsidRPr="00B822FC">
              <w:t>:</w:t>
            </w:r>
            <w:r>
              <w:t xml:space="preserve"> Add</w:t>
            </w:r>
          </w:p>
          <w:p w14:paraId="79C558B0" w14:textId="3DA48D93" w:rsidR="00CF6077" w:rsidRPr="00187FED" w:rsidRDefault="00CF6077" w:rsidP="00C77446">
            <w:pPr>
              <w:pStyle w:val="TabletextrowsAgency"/>
              <w:rPr>
                <w:color w:val="4F81BD"/>
              </w:rPr>
            </w:pPr>
            <w:r w:rsidRPr="00187FED">
              <w:rPr>
                <w:color w:val="4F81BD"/>
              </w:rPr>
              <w:t>For raw materials and excipients authorised as medicinal product or bearing a medical device CE-mark identity testing is not required.</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22E85B4A" w14:textId="77777777" w:rsidR="00CF6077" w:rsidRPr="00561BA0" w:rsidRDefault="00CF6077" w:rsidP="00187FED">
            <w:pPr>
              <w:pStyle w:val="TabletextrowsAgency"/>
            </w:pPr>
          </w:p>
        </w:tc>
      </w:tr>
      <w:tr w:rsidR="00537F3B" w:rsidRPr="00B822FC" w14:paraId="30A52EB0" w14:textId="77777777" w:rsidTr="00537F3B">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10DF3006" w14:textId="77777777" w:rsidR="00537F3B" w:rsidRDefault="00537F3B" w:rsidP="003976B1">
            <w:pPr>
              <w:pStyle w:val="TabletextrowsAgency"/>
            </w:pPr>
            <w:r>
              <w:t>1030-1036</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5D420456" w14:textId="77777777" w:rsidR="00537F3B" w:rsidRDefault="00537F3B" w:rsidP="003976B1">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48AD2CE3" w14:textId="77777777" w:rsidR="00537F3B" w:rsidRDefault="00537F3B" w:rsidP="003976B1">
            <w:pPr>
              <w:pStyle w:val="TabletextrowsAgency"/>
            </w:pPr>
            <w:r>
              <w:t>Comment:</w:t>
            </w:r>
          </w:p>
          <w:p w14:paraId="369FCB8B" w14:textId="1DCD1F2A" w:rsidR="00537F3B" w:rsidRDefault="00537F3B" w:rsidP="003976B1">
            <w:pPr>
              <w:pStyle w:val="TabletextrowsAgency"/>
            </w:pPr>
            <w:r>
              <w:t>It’s not realistic that initial processing steps “are manufacturing activities that should be conducted in accordance with the manufacturing requirements for pharmaceuticals”. In many cases such steps are performed in the clinic, e.g. within an operating theatre. It’s not realistic to apply GMP to such activities.</w:t>
            </w:r>
          </w:p>
          <w:p w14:paraId="2B506D7D" w14:textId="77777777" w:rsidR="00537F3B" w:rsidRDefault="00537F3B" w:rsidP="003976B1">
            <w:pPr>
              <w:pStyle w:val="TabletextrowsAgency"/>
            </w:pPr>
            <w:r w:rsidRPr="00B822FC">
              <w:t>Proposed change (if any):</w:t>
            </w:r>
          </w:p>
          <w:p w14:paraId="47850DA8" w14:textId="77777777" w:rsidR="00537F3B" w:rsidRDefault="00537F3B" w:rsidP="003976B1">
            <w:pPr>
              <w:pStyle w:val="TabletextrowsAgency"/>
            </w:pPr>
            <w:r>
              <w:t>Requirements for pharmaceuticals should only apply in case of substantial manipulation of the starting material.</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5669B72D" w14:textId="76770D60" w:rsidR="00537F3B" w:rsidRPr="00561BA0" w:rsidRDefault="00537F3B" w:rsidP="003976B1">
            <w:pPr>
              <w:pStyle w:val="TabletextrowsAgency"/>
            </w:pPr>
          </w:p>
        </w:tc>
      </w:tr>
      <w:tr w:rsidR="00537F3B" w:rsidRPr="00B822FC" w14:paraId="36E9C56A" w14:textId="77777777" w:rsidTr="00537F3B">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4BFCDAA5" w14:textId="77777777" w:rsidR="00537F3B" w:rsidRDefault="00537F3B" w:rsidP="003976B1">
            <w:pPr>
              <w:pStyle w:val="TabletextrowsAgency"/>
            </w:pPr>
            <w:r>
              <w:t>1172</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3E5CDB6F" w14:textId="77777777" w:rsidR="00537F3B" w:rsidRDefault="00537F3B" w:rsidP="003976B1">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0B5B15F5" w14:textId="77777777" w:rsidR="00537F3B" w:rsidRDefault="00537F3B" w:rsidP="003976B1">
            <w:pPr>
              <w:pStyle w:val="TabletextrowsAgency"/>
            </w:pPr>
            <w:r>
              <w:t>Comment</w:t>
            </w:r>
            <w:r w:rsidRPr="00B822FC">
              <w:t>:</w:t>
            </w:r>
          </w:p>
          <w:p w14:paraId="4066094F" w14:textId="77777777" w:rsidR="00537F3B" w:rsidRDefault="00537F3B" w:rsidP="003976B1">
            <w:pPr>
              <w:pStyle w:val="TabletextrowsAgency"/>
            </w:pPr>
            <w:r>
              <w:t>“Where necessary” should be further explained.</w:t>
            </w:r>
          </w:p>
          <w:p w14:paraId="257FE31C" w14:textId="77777777" w:rsidR="00537F3B" w:rsidRDefault="00537F3B" w:rsidP="003976B1">
            <w:pPr>
              <w:pStyle w:val="TabletextrowsAgency"/>
            </w:pPr>
            <w:r w:rsidRPr="00B822FC">
              <w:t>Proposed change (if any):</w:t>
            </w:r>
          </w:p>
          <w:p w14:paraId="3638609F" w14:textId="77777777" w:rsidR="00537F3B" w:rsidRDefault="00537F3B" w:rsidP="003976B1">
            <w:pPr>
              <w:pStyle w:val="TabletextrowsAgency"/>
            </w:pPr>
            <w:r>
              <w:t>Explaining, e.g. by using an example?</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2BDF7720" w14:textId="6CD8251B" w:rsidR="00537F3B" w:rsidRPr="00561BA0" w:rsidRDefault="00537F3B" w:rsidP="003976B1">
            <w:pPr>
              <w:pStyle w:val="TabletextrowsAgency"/>
            </w:pPr>
          </w:p>
        </w:tc>
      </w:tr>
      <w:tr w:rsidR="0039084A" w:rsidRPr="00B822FC" w14:paraId="5F841C8E" w14:textId="77777777" w:rsidTr="0039084A">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6736E397" w14:textId="77777777" w:rsidR="0039084A" w:rsidRDefault="0039084A" w:rsidP="00835CE7">
            <w:pPr>
              <w:pStyle w:val="TabletextrowsAgency"/>
            </w:pPr>
            <w:r>
              <w:t>1205</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3FC609F9" w14:textId="77777777" w:rsidR="0039084A" w:rsidRDefault="0039084A" w:rsidP="00835CE7">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2B796170" w14:textId="77777777" w:rsidR="0039084A" w:rsidRDefault="0039084A" w:rsidP="00835CE7">
            <w:pPr>
              <w:pStyle w:val="TabletextrowsAgency"/>
            </w:pPr>
            <w:r>
              <w:t>Comment: The urge to use gasses compliant with EP will in some cases increase costs unnecessarily. Higher (than EP) technical grades are often available but come without a costly batch specific certificate (so not EP grade). EP-grade gas should not be required for CO</w:t>
            </w:r>
            <w:r w:rsidRPr="00CF6077">
              <w:t>2</w:t>
            </w:r>
            <w:r>
              <w:t>-incubators.</w:t>
            </w:r>
          </w:p>
          <w:p w14:paraId="6A9BC034" w14:textId="77777777" w:rsidR="0039084A" w:rsidRDefault="0039084A" w:rsidP="00835CE7">
            <w:pPr>
              <w:pStyle w:val="TabletextrowsAgency"/>
            </w:pPr>
            <w:r>
              <w:t>Proposed change</w:t>
            </w:r>
            <w:r w:rsidRPr="00B822FC">
              <w:t>:</w:t>
            </w:r>
          </w:p>
          <w:p w14:paraId="697D85F5" w14:textId="77777777" w:rsidR="0039084A" w:rsidRDefault="0039084A" w:rsidP="00835CE7">
            <w:pPr>
              <w:pStyle w:val="TabletextrowsAgency"/>
            </w:pPr>
            <w:r w:rsidRPr="00DB5274">
              <w:t xml:space="preserve">Where </w:t>
            </w:r>
            <w:r w:rsidRPr="0039084A">
              <w:t>possible</w:t>
            </w:r>
            <w:r>
              <w:t xml:space="preserve"> </w:t>
            </w:r>
            <w:r w:rsidRPr="0039084A">
              <w:t>supported by documented risk assessment</w:t>
            </w:r>
            <w:r w:rsidRPr="00DB5274">
              <w:t xml:space="preserve">, gasses </w:t>
            </w:r>
            <w:r w:rsidRPr="0039084A">
              <w:t>of technical grades can be used instead of those</w:t>
            </w:r>
            <w:r>
              <w:t xml:space="preserve"> </w:t>
            </w:r>
            <w:r w:rsidRPr="00DB5274">
              <w:t xml:space="preserve">compliant with the European Pharmacopoeia </w:t>
            </w:r>
            <w:r w:rsidRPr="0039084A">
              <w:t>should</w:t>
            </w:r>
            <w:r w:rsidRPr="00DB5274">
              <w:t xml:space="preserve"> </w:t>
            </w:r>
            <w:r w:rsidRPr="0039084A">
              <w:t>be used.</w:t>
            </w:r>
          </w:p>
          <w:p w14:paraId="742985C5" w14:textId="73E313DA" w:rsidR="0039084A" w:rsidRDefault="0039084A" w:rsidP="00835CE7">
            <w:pPr>
              <w:pStyle w:val="TabletextrowsAgency"/>
            </w:pP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77FDD292" w14:textId="77777777" w:rsidR="0039084A" w:rsidRPr="00561BA0" w:rsidRDefault="0039084A" w:rsidP="00835CE7">
            <w:pPr>
              <w:pStyle w:val="TabletextrowsAgency"/>
            </w:pPr>
          </w:p>
        </w:tc>
      </w:tr>
      <w:tr w:rsidR="004D16E8" w14:paraId="0572BD3D" w14:textId="77777777" w:rsidTr="007355D7">
        <w:tc>
          <w:tcPr>
            <w:tcW w:w="645" w:type="pct"/>
            <w:shd w:val="clear" w:color="auto" w:fill="E1E3F2"/>
          </w:tcPr>
          <w:p w14:paraId="26C8781C" w14:textId="77777777" w:rsidR="004D16E8" w:rsidRPr="00561BA0" w:rsidRDefault="004D16E8" w:rsidP="007355D7">
            <w:pPr>
              <w:pStyle w:val="TabletextrowsAgency"/>
            </w:pPr>
            <w:r>
              <w:t>1205</w:t>
            </w:r>
          </w:p>
        </w:tc>
        <w:tc>
          <w:tcPr>
            <w:tcW w:w="812" w:type="pct"/>
            <w:shd w:val="clear" w:color="auto" w:fill="E1E3F2"/>
          </w:tcPr>
          <w:p w14:paraId="73B4A4AF" w14:textId="77777777" w:rsidR="004D16E8" w:rsidRDefault="004D16E8" w:rsidP="007355D7">
            <w:pPr>
              <w:pStyle w:val="TabletextrowsAgency"/>
            </w:pPr>
          </w:p>
        </w:tc>
        <w:tc>
          <w:tcPr>
            <w:tcW w:w="2006" w:type="pct"/>
            <w:shd w:val="clear" w:color="auto" w:fill="E1E3F2"/>
          </w:tcPr>
          <w:p w14:paraId="741EB798" w14:textId="77777777" w:rsidR="004D16E8" w:rsidRDefault="004D16E8" w:rsidP="007355D7">
            <w:pPr>
              <w:pStyle w:val="TabletextrowsAgency"/>
            </w:pPr>
            <w:r>
              <w:t>Comment</w:t>
            </w:r>
            <w:r w:rsidRPr="00B822FC">
              <w:t>:</w:t>
            </w:r>
          </w:p>
          <w:p w14:paraId="59764352" w14:textId="77777777" w:rsidR="004D16E8" w:rsidRDefault="004D16E8" w:rsidP="007355D7">
            <w:pPr>
              <w:pStyle w:val="TabletextrowsAgency"/>
            </w:pPr>
            <w:r>
              <w:t>Liquid nitrogen for storage of cells in the vapor</w:t>
            </w:r>
            <w:r w:rsidR="000F3C21">
              <w:t>-</w:t>
            </w:r>
            <w:r>
              <w:t>phase of liquid N2 should be excluded</w:t>
            </w:r>
            <w:r w:rsidR="00B32F70">
              <w:t xml:space="preserve"> from this section</w:t>
            </w:r>
            <w:r>
              <w:t>.</w:t>
            </w:r>
          </w:p>
          <w:p w14:paraId="2901796E" w14:textId="77777777" w:rsidR="004D16E8" w:rsidRDefault="004D16E8" w:rsidP="007355D7">
            <w:pPr>
              <w:pStyle w:val="TabletextrowsAgency"/>
            </w:pPr>
          </w:p>
          <w:p w14:paraId="389C463B" w14:textId="77777777" w:rsidR="004D16E8" w:rsidRDefault="004D16E8" w:rsidP="007355D7">
            <w:pPr>
              <w:pStyle w:val="TabletextrowsAgency"/>
            </w:pPr>
            <w:r w:rsidRPr="00B822FC">
              <w:t>Proposed change (if any):</w:t>
            </w:r>
          </w:p>
          <w:p w14:paraId="5E3F1408" w14:textId="7BAB1D60" w:rsidR="004D16E8" w:rsidRDefault="004D16E8" w:rsidP="000F3C21">
            <w:pPr>
              <w:pStyle w:val="TabletextrowsAgency"/>
            </w:pPr>
            <w:r>
              <w:t xml:space="preserve">Writing “9.3.2. isn’t applicable for liquid </w:t>
            </w:r>
            <w:r w:rsidR="000F3C21">
              <w:t>n</w:t>
            </w:r>
            <w:r>
              <w:t>itrogen for storage of cells</w:t>
            </w:r>
            <w:r w:rsidR="000F3C21">
              <w:t xml:space="preserve"> in closed containers</w:t>
            </w:r>
            <w:r>
              <w:t xml:space="preserve"> in</w:t>
            </w:r>
            <w:r w:rsidR="00D94B61">
              <w:t xml:space="preserve"> or above</w:t>
            </w:r>
            <w:r>
              <w:t xml:space="preserve"> liquid nitrogen.</w:t>
            </w:r>
          </w:p>
        </w:tc>
        <w:tc>
          <w:tcPr>
            <w:tcW w:w="1537" w:type="pct"/>
            <w:shd w:val="clear" w:color="auto" w:fill="E1E3F2"/>
          </w:tcPr>
          <w:p w14:paraId="34F06580" w14:textId="77777777" w:rsidR="004D16E8" w:rsidRPr="00561BA0" w:rsidRDefault="004D16E8" w:rsidP="007355D7">
            <w:pPr>
              <w:pStyle w:val="TabletextrowsAgency"/>
            </w:pPr>
          </w:p>
        </w:tc>
      </w:tr>
      <w:tr w:rsidR="00246220" w14:paraId="0907D9C7" w14:textId="77777777" w:rsidTr="007355D7">
        <w:tc>
          <w:tcPr>
            <w:tcW w:w="645" w:type="pct"/>
            <w:shd w:val="clear" w:color="auto" w:fill="E1E3F2"/>
          </w:tcPr>
          <w:p w14:paraId="1DD2898E" w14:textId="77777777" w:rsidR="00246220" w:rsidRDefault="00246220" w:rsidP="007355D7">
            <w:pPr>
              <w:pStyle w:val="TabletextrowsAgency"/>
            </w:pPr>
            <w:r w:rsidRPr="00246220">
              <w:t>1227-1229 and f.</w:t>
            </w:r>
          </w:p>
        </w:tc>
        <w:tc>
          <w:tcPr>
            <w:tcW w:w="812" w:type="pct"/>
            <w:shd w:val="clear" w:color="auto" w:fill="E1E3F2"/>
          </w:tcPr>
          <w:p w14:paraId="30F3CF80" w14:textId="77777777" w:rsidR="00246220" w:rsidRDefault="00246220" w:rsidP="007355D7">
            <w:pPr>
              <w:pStyle w:val="TabletextrowsAgency"/>
            </w:pPr>
          </w:p>
        </w:tc>
        <w:tc>
          <w:tcPr>
            <w:tcW w:w="2006" w:type="pct"/>
            <w:shd w:val="clear" w:color="auto" w:fill="E1E3F2"/>
          </w:tcPr>
          <w:p w14:paraId="146C1CD9" w14:textId="3B06B164" w:rsidR="00246220" w:rsidRDefault="00246220" w:rsidP="007355D7">
            <w:pPr>
              <w:pStyle w:val="TabletextrowsAgency"/>
            </w:pPr>
            <w:r>
              <w:t>Commme</w:t>
            </w:r>
            <w:r w:rsidR="00835CE7">
              <w:t>n</w:t>
            </w:r>
            <w:r>
              <w:t>t</w:t>
            </w:r>
            <w:r w:rsidRPr="00246220">
              <w:t>:</w:t>
            </w:r>
          </w:p>
          <w:p w14:paraId="129B5EEB" w14:textId="77777777" w:rsidR="00246220" w:rsidRDefault="00246220" w:rsidP="007355D7">
            <w:pPr>
              <w:pStyle w:val="TabletextrowsAgency"/>
            </w:pPr>
            <w:r w:rsidRPr="00246220">
              <w:t>We would like to propose additional definitions with regard to aseptic connections (e.g. needles in septum, luer locks), sterile connections (e.g. tube to tube welding, aseptic connections with a sterile septum and spikes with filters).</w:t>
            </w:r>
          </w:p>
        </w:tc>
        <w:tc>
          <w:tcPr>
            <w:tcW w:w="1537" w:type="pct"/>
            <w:shd w:val="clear" w:color="auto" w:fill="E1E3F2"/>
          </w:tcPr>
          <w:p w14:paraId="6D9505AE" w14:textId="77777777" w:rsidR="00246220" w:rsidRPr="00561BA0" w:rsidRDefault="00246220" w:rsidP="007355D7">
            <w:pPr>
              <w:pStyle w:val="TabletextrowsAgency"/>
            </w:pPr>
          </w:p>
        </w:tc>
      </w:tr>
      <w:tr w:rsidR="0067610E" w:rsidRPr="00B822FC" w14:paraId="299B74F9" w14:textId="77777777" w:rsidTr="0067610E">
        <w:tc>
          <w:tcPr>
            <w:tcW w:w="645" w:type="pct"/>
            <w:shd w:val="clear" w:color="auto" w:fill="E1E3F2"/>
          </w:tcPr>
          <w:p w14:paraId="0D3A5A9F" w14:textId="77777777" w:rsidR="0067610E" w:rsidRPr="00561BA0" w:rsidRDefault="00F15A2D">
            <w:pPr>
              <w:pStyle w:val="TabletextrowsAgency"/>
            </w:pPr>
            <w:r>
              <w:t>1267-1274</w:t>
            </w:r>
          </w:p>
        </w:tc>
        <w:tc>
          <w:tcPr>
            <w:tcW w:w="812" w:type="pct"/>
            <w:shd w:val="clear" w:color="auto" w:fill="E1E3F2"/>
          </w:tcPr>
          <w:p w14:paraId="12B34980" w14:textId="77777777" w:rsidR="0067610E" w:rsidRDefault="0067610E">
            <w:pPr>
              <w:pStyle w:val="TabletextrowsAgency"/>
            </w:pPr>
          </w:p>
        </w:tc>
        <w:tc>
          <w:tcPr>
            <w:tcW w:w="2006" w:type="pct"/>
            <w:shd w:val="clear" w:color="auto" w:fill="E1E3F2"/>
          </w:tcPr>
          <w:p w14:paraId="03176EC6" w14:textId="77777777" w:rsidR="002A14BD" w:rsidRDefault="0067610E">
            <w:pPr>
              <w:pStyle w:val="TabletextrowsAgency"/>
            </w:pPr>
            <w:r>
              <w:t>Comment</w:t>
            </w:r>
            <w:r w:rsidRPr="00B822FC">
              <w:t>:</w:t>
            </w:r>
          </w:p>
          <w:p w14:paraId="3501490B" w14:textId="55BE20E7" w:rsidR="0067610E" w:rsidRDefault="00F15A2D">
            <w:pPr>
              <w:pStyle w:val="TabletextrowsAgency"/>
            </w:pPr>
            <w:r>
              <w:t>The described separation in place isn’t viable for large scale commercial production of complex ATMPs</w:t>
            </w:r>
            <w:r w:rsidR="001204D7">
              <w:t xml:space="preserve"> for the market after EMA approval</w:t>
            </w:r>
            <w:r>
              <w:t xml:space="preserve">. </w:t>
            </w:r>
            <w:r w:rsidR="00E30BA6">
              <w:t>Very c</w:t>
            </w:r>
            <w:r>
              <w:t>omplex ATMPs like CAR T, DC’</w:t>
            </w:r>
            <w:r w:rsidR="00E30BA6">
              <w:t xml:space="preserve">s etc. are difficult to manufacture within a closed </w:t>
            </w:r>
            <w:r w:rsidR="001204D7">
              <w:t xml:space="preserve">and rigid </w:t>
            </w:r>
            <w:r w:rsidR="00E30BA6">
              <w:t>system like an isolator</w:t>
            </w:r>
            <w:r w:rsidR="00247EA6">
              <w:t xml:space="preserve"> (space restrictions within such an isolator, to</w:t>
            </w:r>
            <w:r w:rsidR="00D94B61">
              <w:t>o</w:t>
            </w:r>
            <w:r w:rsidR="00247EA6">
              <w:t xml:space="preserve"> many materials that must be transferred into the </w:t>
            </w:r>
            <w:r w:rsidR="00D94B61">
              <w:t xml:space="preserve">grade </w:t>
            </w:r>
            <w:r w:rsidR="00247EA6">
              <w:t>A area</w:t>
            </w:r>
            <w:r w:rsidR="001204D7">
              <w:t xml:space="preserve">, several </w:t>
            </w:r>
            <w:r w:rsidR="00D94B61">
              <w:t xml:space="preserve">grade </w:t>
            </w:r>
            <w:r w:rsidR="001204D7">
              <w:t>A activities per manufacturing day</w:t>
            </w:r>
            <w:r w:rsidR="00247EA6">
              <w:t xml:space="preserve"> etc.)</w:t>
            </w:r>
            <w:r w:rsidR="00E30BA6">
              <w:t>. For such kind of products a</w:t>
            </w:r>
            <w:r w:rsidR="001204D7">
              <w:t>n appropriate sized</w:t>
            </w:r>
            <w:r w:rsidR="00E30BA6">
              <w:t xml:space="preserve"> BSC with laminar flow is the class A environment of choice. To have only one BSC in on</w:t>
            </w:r>
            <w:r w:rsidR="00247EA6">
              <w:t xml:space="preserve">e class B room means for commercial large scale production of a complex ATMP hundreds of class B rooms with all the associated </w:t>
            </w:r>
            <w:r w:rsidR="001204D7">
              <w:t xml:space="preserve">space consuming </w:t>
            </w:r>
            <w:r w:rsidR="00247EA6">
              <w:t>infrastructure for entering the rooms (corridors, airlocks etc.). That’s not practical</w:t>
            </w:r>
            <w:r w:rsidR="00B4366B">
              <w:t>.</w:t>
            </w:r>
            <w:r w:rsidR="00247EA6">
              <w:t xml:space="preserve"> Therefore it should be allowed to have more than one BSC </w:t>
            </w:r>
            <w:r w:rsidR="001204D7">
              <w:t xml:space="preserve">within a larger grade B room if some preconditions are given (e.g. a kind of segregation in separated working areas for each batch with dedicated devices etc., same kind of (autologous) products [same process] per room etc.). Such a structure is common practice, e.g. in USA but also in Europe there are facilities </w:t>
            </w:r>
            <w:r w:rsidR="00B8295D">
              <w:t>with more than one BSC per room</w:t>
            </w:r>
            <w:r w:rsidR="001204D7">
              <w:t>.</w:t>
            </w:r>
          </w:p>
          <w:p w14:paraId="0D5BFDCC" w14:textId="77777777" w:rsidR="0067610E" w:rsidRDefault="0067610E">
            <w:pPr>
              <w:pStyle w:val="TabletextrowsAgency"/>
            </w:pPr>
          </w:p>
          <w:p w14:paraId="1D243A93" w14:textId="77777777" w:rsidR="0067610E" w:rsidRDefault="0067610E">
            <w:pPr>
              <w:pStyle w:val="TabletextrowsAgency"/>
            </w:pPr>
            <w:r w:rsidRPr="00B822FC">
              <w:t>Proposed change (if any):</w:t>
            </w:r>
          </w:p>
          <w:p w14:paraId="11E7ED7A" w14:textId="77777777" w:rsidR="007B74CB" w:rsidRDefault="007B74CB">
            <w:pPr>
              <w:pStyle w:val="TabletextrowsAgency"/>
            </w:pPr>
            <w:r>
              <w:t>Including this possibility and mentioning of the</w:t>
            </w:r>
            <w:r w:rsidR="000F3C21">
              <w:t xml:space="preserve"> preconditions that must be ful</w:t>
            </w:r>
            <w:r>
              <w:t>filled.</w:t>
            </w:r>
          </w:p>
        </w:tc>
        <w:tc>
          <w:tcPr>
            <w:tcW w:w="1537" w:type="pct"/>
            <w:shd w:val="clear" w:color="auto" w:fill="E1E3F2"/>
          </w:tcPr>
          <w:p w14:paraId="098E0D28" w14:textId="77777777" w:rsidR="0067610E" w:rsidRPr="00561BA0" w:rsidRDefault="0067610E">
            <w:pPr>
              <w:pStyle w:val="TabletextrowsAgency"/>
            </w:pPr>
          </w:p>
        </w:tc>
      </w:tr>
      <w:tr w:rsidR="0001450C" w:rsidRPr="00B822FC" w14:paraId="24C3EFFC" w14:textId="77777777" w:rsidTr="0067610E">
        <w:tc>
          <w:tcPr>
            <w:tcW w:w="645" w:type="pct"/>
            <w:shd w:val="clear" w:color="auto" w:fill="E1E3F2"/>
          </w:tcPr>
          <w:p w14:paraId="4BE34C33" w14:textId="77777777" w:rsidR="0001450C" w:rsidRDefault="0001450C">
            <w:pPr>
              <w:pStyle w:val="TabletextrowsAgency"/>
            </w:pPr>
            <w:r w:rsidRPr="0001450C">
              <w:t>1268 f.</w:t>
            </w:r>
          </w:p>
        </w:tc>
        <w:tc>
          <w:tcPr>
            <w:tcW w:w="812" w:type="pct"/>
            <w:shd w:val="clear" w:color="auto" w:fill="E1E3F2"/>
          </w:tcPr>
          <w:p w14:paraId="69EF0EE6" w14:textId="77777777" w:rsidR="0001450C" w:rsidRDefault="0001450C">
            <w:pPr>
              <w:pStyle w:val="TabletextrowsAgency"/>
            </w:pPr>
          </w:p>
        </w:tc>
        <w:tc>
          <w:tcPr>
            <w:tcW w:w="2006" w:type="pct"/>
            <w:shd w:val="clear" w:color="auto" w:fill="E1E3F2"/>
          </w:tcPr>
          <w:p w14:paraId="131B8D9C" w14:textId="77777777" w:rsidR="0001450C" w:rsidRDefault="0001450C">
            <w:pPr>
              <w:pStyle w:val="TabletextrowsAgency"/>
            </w:pPr>
            <w:r>
              <w:t>Comment:</w:t>
            </w:r>
          </w:p>
          <w:p w14:paraId="23145D69" w14:textId="537A714A" w:rsidR="0001450C" w:rsidRDefault="0001450C">
            <w:pPr>
              <w:pStyle w:val="TabletextrowsAgency"/>
            </w:pPr>
            <w:r w:rsidRPr="0001450C">
              <w:t>We would like to clarify that the term „closed system“ still applies if: spiking of buffers is a</w:t>
            </w:r>
            <w:r w:rsidR="00D94B61">
              <w:t>n</w:t>
            </w:r>
            <w:r w:rsidRPr="0001450C">
              <w:t xml:space="preserve"> aseptic process if the buffer is sterile filtered before reaching the closed system by the use of micro-organism retentive filters.</w:t>
            </w:r>
          </w:p>
        </w:tc>
        <w:tc>
          <w:tcPr>
            <w:tcW w:w="1537" w:type="pct"/>
            <w:shd w:val="clear" w:color="auto" w:fill="E1E3F2"/>
          </w:tcPr>
          <w:p w14:paraId="5F504069" w14:textId="77777777" w:rsidR="0001450C" w:rsidRPr="00561BA0" w:rsidRDefault="0001450C">
            <w:pPr>
              <w:pStyle w:val="TabletextrowsAgency"/>
            </w:pPr>
          </w:p>
        </w:tc>
      </w:tr>
      <w:tr w:rsidR="0001450C" w:rsidRPr="00B822FC" w14:paraId="31DC2374" w14:textId="77777777" w:rsidTr="0067610E">
        <w:tc>
          <w:tcPr>
            <w:tcW w:w="645" w:type="pct"/>
            <w:shd w:val="clear" w:color="auto" w:fill="E1E3F2"/>
          </w:tcPr>
          <w:p w14:paraId="0BDA6959" w14:textId="77777777" w:rsidR="0001450C" w:rsidRPr="0001450C" w:rsidRDefault="0001450C">
            <w:pPr>
              <w:pStyle w:val="TabletextrowsAgency"/>
            </w:pPr>
            <w:r w:rsidRPr="0001450C">
              <w:t>1270</w:t>
            </w:r>
          </w:p>
        </w:tc>
        <w:tc>
          <w:tcPr>
            <w:tcW w:w="812" w:type="pct"/>
            <w:shd w:val="clear" w:color="auto" w:fill="E1E3F2"/>
          </w:tcPr>
          <w:p w14:paraId="550823CB" w14:textId="77777777" w:rsidR="0001450C" w:rsidRDefault="0001450C">
            <w:pPr>
              <w:pStyle w:val="TabletextrowsAgency"/>
            </w:pPr>
          </w:p>
        </w:tc>
        <w:tc>
          <w:tcPr>
            <w:tcW w:w="2006" w:type="pct"/>
            <w:shd w:val="clear" w:color="auto" w:fill="E1E3F2"/>
          </w:tcPr>
          <w:p w14:paraId="7D5F03C6" w14:textId="77777777" w:rsidR="0039084A" w:rsidRDefault="0039084A" w:rsidP="0039084A">
            <w:pPr>
              <w:pStyle w:val="TabletextrowsAgency"/>
            </w:pPr>
            <w:r>
              <w:t>Comment:</w:t>
            </w:r>
          </w:p>
          <w:p w14:paraId="105477D4" w14:textId="77777777" w:rsidR="0039084A" w:rsidRDefault="0039084A" w:rsidP="0039084A">
            <w:pPr>
              <w:pStyle w:val="TabletextrowsAgency"/>
            </w:pPr>
            <w:r>
              <w:t>The meaning of the sentence “Likewise …” is not clear, in particular the phrase “provided that there is separated expulsion of the exhausted air”. Does this mean isolator and/or biological safety cabinets must have 100% of their air exhausted out of the room and facility with no air recirculated? Would this be mitigated if the exhaust air is double or triple filtered?</w:t>
            </w:r>
          </w:p>
          <w:p w14:paraId="4B3D7C8D" w14:textId="1385B957" w:rsidR="0039084A" w:rsidRDefault="0039084A" w:rsidP="0039084A">
            <w:pPr>
              <w:pStyle w:val="TabletextrowsAgency"/>
            </w:pPr>
            <w:r>
              <w:t xml:space="preserve"> </w:t>
            </w:r>
          </w:p>
          <w:p w14:paraId="4A39FE7D" w14:textId="4F0BBCBD" w:rsidR="0039084A" w:rsidRDefault="0039084A" w:rsidP="0039084A">
            <w:pPr>
              <w:pStyle w:val="TabletextrowsAgency"/>
            </w:pPr>
            <w:r w:rsidRPr="0039084A">
              <w:t>Proposed change (if any):</w:t>
            </w:r>
          </w:p>
          <w:p w14:paraId="48D25279" w14:textId="10E00651" w:rsidR="0001450C" w:rsidRDefault="0039084A" w:rsidP="0039084A">
            <w:pPr>
              <w:pStyle w:val="TabletextrowsAgency"/>
            </w:pPr>
            <w:r>
              <w:t>This section could benefit by re-wording to make it very clear what activities can be conducted in the same room.</w:t>
            </w:r>
          </w:p>
        </w:tc>
        <w:tc>
          <w:tcPr>
            <w:tcW w:w="1537" w:type="pct"/>
            <w:shd w:val="clear" w:color="auto" w:fill="E1E3F2"/>
          </w:tcPr>
          <w:p w14:paraId="47B2CFD6" w14:textId="77777777" w:rsidR="0001450C" w:rsidRPr="00561BA0" w:rsidRDefault="0001450C">
            <w:pPr>
              <w:pStyle w:val="TabletextrowsAgency"/>
            </w:pPr>
          </w:p>
        </w:tc>
      </w:tr>
      <w:tr w:rsidR="00CF6077" w:rsidRPr="00B822FC" w14:paraId="7E5ED0A2" w14:textId="77777777" w:rsidTr="00CF6077">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42D8DED6" w14:textId="77777777" w:rsidR="00CF6077" w:rsidRDefault="00CF6077" w:rsidP="00187FED">
            <w:pPr>
              <w:pStyle w:val="TabletextrowsAgency"/>
            </w:pPr>
            <w:r>
              <w:t>1296-1297</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14E992A2" w14:textId="77777777" w:rsidR="00CF6077" w:rsidRDefault="00CF6077" w:rsidP="00187FED">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5FAB10FD" w14:textId="77777777" w:rsidR="00CF6077" w:rsidRDefault="00CF6077" w:rsidP="00187FED">
            <w:pPr>
              <w:pStyle w:val="TabletextrowsAgency"/>
            </w:pPr>
            <w:r>
              <w:t>Comment: Many sterilised (single use) items are not available on the market with a number of wrappings commensurate with the number of stages (that may be 3-4 until they get into grade A). This is too strict a requirement.</w:t>
            </w:r>
          </w:p>
          <w:p w14:paraId="40B7A655" w14:textId="77777777" w:rsidR="00CF6077" w:rsidRDefault="00CF6077" w:rsidP="00187FED">
            <w:pPr>
              <w:pStyle w:val="TabletextrowsAgency"/>
            </w:pPr>
            <w:r>
              <w:t>Proposed change</w:t>
            </w:r>
            <w:r w:rsidRPr="00B822FC">
              <w:t>:</w:t>
            </w:r>
          </w:p>
          <w:p w14:paraId="6074DE59" w14:textId="77777777" w:rsidR="00CF6077" w:rsidRDefault="00CF6077" w:rsidP="00187FED">
            <w:pPr>
              <w:pStyle w:val="TabletextrowsAgency"/>
            </w:pPr>
            <w:r w:rsidRPr="00E70A40">
              <w:t xml:space="preserve">Sterilisation of articles and materials elsewhere is acceptable provided that there are multiple wrappings, </w:t>
            </w:r>
            <w:r w:rsidRPr="00187FED">
              <w:rPr>
                <w:color w:val="4F81BD"/>
              </w:rPr>
              <w:t>if possible</w:t>
            </w:r>
            <w:r>
              <w:t xml:space="preserve"> </w:t>
            </w:r>
            <w:r w:rsidRPr="00E70A40">
              <w:t>as appropriate to the number of stages of entry to the clean area,</w:t>
            </w:r>
            <w:r>
              <w:t>…</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7E82E381" w14:textId="77777777" w:rsidR="00CF6077" w:rsidRPr="00561BA0" w:rsidRDefault="00CF6077" w:rsidP="00187FED">
            <w:pPr>
              <w:pStyle w:val="TabletextrowsAgency"/>
            </w:pPr>
          </w:p>
        </w:tc>
      </w:tr>
      <w:tr w:rsidR="007E72F1" w:rsidRPr="00B822FC" w14:paraId="2DF7F517" w14:textId="77777777" w:rsidTr="0067610E">
        <w:tc>
          <w:tcPr>
            <w:tcW w:w="645" w:type="pct"/>
            <w:shd w:val="clear" w:color="auto" w:fill="E1E3F2"/>
          </w:tcPr>
          <w:p w14:paraId="1676D1F6" w14:textId="77777777" w:rsidR="007E72F1" w:rsidRDefault="007E72F1">
            <w:pPr>
              <w:pStyle w:val="TabletextrowsAgency"/>
            </w:pPr>
            <w:r>
              <w:t>1326-1328</w:t>
            </w:r>
          </w:p>
        </w:tc>
        <w:tc>
          <w:tcPr>
            <w:tcW w:w="812" w:type="pct"/>
            <w:shd w:val="clear" w:color="auto" w:fill="E1E3F2"/>
          </w:tcPr>
          <w:p w14:paraId="67618EA0" w14:textId="77777777" w:rsidR="007E72F1" w:rsidRDefault="007E72F1">
            <w:pPr>
              <w:pStyle w:val="TabletextrowsAgency"/>
            </w:pPr>
          </w:p>
        </w:tc>
        <w:tc>
          <w:tcPr>
            <w:tcW w:w="2006" w:type="pct"/>
            <w:shd w:val="clear" w:color="auto" w:fill="E1E3F2"/>
          </w:tcPr>
          <w:p w14:paraId="24A97C2C" w14:textId="77777777" w:rsidR="002A14BD" w:rsidRDefault="007E72F1" w:rsidP="007E72F1">
            <w:pPr>
              <w:pStyle w:val="TabletextrowsAgency"/>
            </w:pPr>
            <w:r>
              <w:t>Comment</w:t>
            </w:r>
            <w:r w:rsidRPr="00B822FC">
              <w:t>:</w:t>
            </w:r>
          </w:p>
          <w:p w14:paraId="150D7AFB" w14:textId="77777777" w:rsidR="007E72F1" w:rsidRDefault="007E72F1" w:rsidP="007E72F1">
            <w:pPr>
              <w:pStyle w:val="TabletextrowsAgency"/>
            </w:pPr>
            <w:r>
              <w:t>A filter integrity testing isn’t applicable for typically used</w:t>
            </w:r>
            <w:r w:rsidR="002A14BD">
              <w:t xml:space="preserve"> sterile</w:t>
            </w:r>
            <w:r>
              <w:t xml:space="preserve"> filters </w:t>
            </w:r>
            <w:r w:rsidR="002A14BD">
              <w:t xml:space="preserve">units </w:t>
            </w:r>
            <w:r>
              <w:t xml:space="preserve">in cell culture (e.g. the typically used filter bottles or small filters for syringes). The standard devices used for filter integrity testing (e.g. </w:t>
            </w:r>
            <w:r w:rsidRPr="007E72F1">
              <w:t>Sartocheck®)</w:t>
            </w:r>
            <w:r>
              <w:t xml:space="preserve"> can’t be used for such kind of filters.</w:t>
            </w:r>
          </w:p>
          <w:p w14:paraId="6793EE73" w14:textId="77777777" w:rsidR="000D2AE6" w:rsidRDefault="000D2AE6" w:rsidP="007E72F1">
            <w:pPr>
              <w:pStyle w:val="TabletextrowsAgency"/>
            </w:pPr>
          </w:p>
          <w:p w14:paraId="41339E3D" w14:textId="77777777" w:rsidR="007E72F1" w:rsidRDefault="007E72F1" w:rsidP="007E72F1">
            <w:pPr>
              <w:pStyle w:val="TabletextrowsAgency"/>
            </w:pPr>
            <w:r w:rsidRPr="00B822FC">
              <w:t>Proposed change (if any):</w:t>
            </w:r>
          </w:p>
          <w:p w14:paraId="744A66B2" w14:textId="77777777" w:rsidR="007E72F1" w:rsidRDefault="007E72F1" w:rsidP="007E72F1">
            <w:pPr>
              <w:pStyle w:val="TabletextrowsAgency"/>
            </w:pPr>
            <w:r>
              <w:t>Please define exemptions.</w:t>
            </w:r>
          </w:p>
        </w:tc>
        <w:tc>
          <w:tcPr>
            <w:tcW w:w="1537" w:type="pct"/>
            <w:shd w:val="clear" w:color="auto" w:fill="E1E3F2"/>
          </w:tcPr>
          <w:p w14:paraId="6552A104" w14:textId="77777777" w:rsidR="007E72F1" w:rsidRPr="00561BA0" w:rsidRDefault="007E72F1">
            <w:pPr>
              <w:pStyle w:val="TabletextrowsAgency"/>
            </w:pPr>
          </w:p>
        </w:tc>
      </w:tr>
      <w:tr w:rsidR="00F61D75" w:rsidRPr="00B822FC" w14:paraId="7A90997B" w14:textId="77777777" w:rsidTr="0067610E">
        <w:tc>
          <w:tcPr>
            <w:tcW w:w="645" w:type="pct"/>
            <w:shd w:val="clear" w:color="auto" w:fill="E1E3F2"/>
          </w:tcPr>
          <w:p w14:paraId="1C8236A5" w14:textId="77777777" w:rsidR="00F61D75" w:rsidRDefault="00F61D75" w:rsidP="007355D7">
            <w:pPr>
              <w:pStyle w:val="TabletextrowsAgency"/>
            </w:pPr>
            <w:r>
              <w:t>1331</w:t>
            </w:r>
          </w:p>
        </w:tc>
        <w:tc>
          <w:tcPr>
            <w:tcW w:w="812" w:type="pct"/>
            <w:shd w:val="clear" w:color="auto" w:fill="E1E3F2"/>
          </w:tcPr>
          <w:p w14:paraId="4A770FC3" w14:textId="77777777" w:rsidR="00F61D75" w:rsidRDefault="00F61D75" w:rsidP="007355D7">
            <w:pPr>
              <w:pStyle w:val="TabletextrowsAgency"/>
            </w:pPr>
          </w:p>
        </w:tc>
        <w:tc>
          <w:tcPr>
            <w:tcW w:w="2006" w:type="pct"/>
            <w:shd w:val="clear" w:color="auto" w:fill="E1E3F2"/>
          </w:tcPr>
          <w:p w14:paraId="54A4920B" w14:textId="77777777" w:rsidR="00F61D75" w:rsidRDefault="00F61D75" w:rsidP="007355D7">
            <w:pPr>
              <w:pStyle w:val="TabletextrowsAgency"/>
            </w:pPr>
            <w:r>
              <w:t>Comment</w:t>
            </w:r>
            <w:r w:rsidRPr="00B822FC">
              <w:t>:</w:t>
            </w:r>
          </w:p>
          <w:p w14:paraId="4883808B" w14:textId="77777777" w:rsidR="00F61D75" w:rsidRDefault="00F61D75" w:rsidP="007355D7">
            <w:pPr>
              <w:pStyle w:val="TabletextrowsAgency"/>
            </w:pPr>
            <w:r>
              <w:t>Within 9.5.3 “Aseptic process validation” it is not clearly distinguished between “</w:t>
            </w:r>
            <w:r w:rsidR="000F3C21">
              <w:t>a</w:t>
            </w:r>
            <w:r>
              <w:t xml:space="preserve">septic operator qualification” for each single </w:t>
            </w:r>
            <w:r w:rsidR="000F3C21">
              <w:t xml:space="preserve">clean room </w:t>
            </w:r>
            <w:r>
              <w:t xml:space="preserve">operator for an ATMP process and the performance of media fill process validations with the goal to qualify the manufacturing process itself </w:t>
            </w:r>
            <w:r w:rsidR="000F3C21">
              <w:t xml:space="preserve">+ </w:t>
            </w:r>
            <w:r>
              <w:t xml:space="preserve">the used rooms </w:t>
            </w:r>
            <w:r w:rsidR="000F3C21">
              <w:t xml:space="preserve">/ </w:t>
            </w:r>
            <w:r>
              <w:t>equipment.</w:t>
            </w:r>
          </w:p>
          <w:p w14:paraId="77E73873" w14:textId="77777777" w:rsidR="00F61D75" w:rsidRDefault="00F61D75" w:rsidP="007355D7">
            <w:pPr>
              <w:pStyle w:val="TabletextrowsAgency"/>
            </w:pPr>
          </w:p>
          <w:p w14:paraId="7C6D7974" w14:textId="77777777" w:rsidR="00F61D75" w:rsidRDefault="00F61D75" w:rsidP="007355D7">
            <w:pPr>
              <w:pStyle w:val="TabletextrowsAgency"/>
            </w:pPr>
            <w:r w:rsidRPr="00B822FC">
              <w:t>Proposed change (if any):</w:t>
            </w:r>
          </w:p>
          <w:p w14:paraId="0ED943B7" w14:textId="77777777" w:rsidR="00F61D75" w:rsidRDefault="00F61D75" w:rsidP="007355D7">
            <w:pPr>
              <w:pStyle w:val="TabletextrowsAgency"/>
            </w:pPr>
            <w:r>
              <w:t xml:space="preserve">Including a paragraph that deals with the topic aseptic operator qualification for operators involved in aseptic manufacturing of ATMPs. E.g. </w:t>
            </w:r>
            <w:r w:rsidR="000F3C21">
              <w:t>guidance</w:t>
            </w:r>
            <w:r>
              <w:t xml:space="preserve"> in regard to frequency (e.g. </w:t>
            </w:r>
            <w:r w:rsidR="000F3C21">
              <w:t>3x as initial qualification</w:t>
            </w:r>
            <w:r>
              <w:t>, 1 repetition per year), content (e.g. matrix approach that includes only critical open or semi-closed steps).</w:t>
            </w:r>
          </w:p>
        </w:tc>
        <w:tc>
          <w:tcPr>
            <w:tcW w:w="1537" w:type="pct"/>
            <w:shd w:val="clear" w:color="auto" w:fill="E1E3F2"/>
          </w:tcPr>
          <w:p w14:paraId="40077E99" w14:textId="77777777" w:rsidR="00F61D75" w:rsidRDefault="00F61D75" w:rsidP="007355D7">
            <w:pPr>
              <w:pStyle w:val="TabletextrowsAgency"/>
            </w:pPr>
          </w:p>
        </w:tc>
      </w:tr>
      <w:tr w:rsidR="007E72F1" w:rsidRPr="00B822FC" w14:paraId="639AC7E0" w14:textId="77777777" w:rsidTr="0067610E">
        <w:tc>
          <w:tcPr>
            <w:tcW w:w="645" w:type="pct"/>
            <w:shd w:val="clear" w:color="auto" w:fill="E1E3F2"/>
          </w:tcPr>
          <w:p w14:paraId="185D0516" w14:textId="77777777" w:rsidR="007E72F1" w:rsidRDefault="00CA5F58">
            <w:pPr>
              <w:pStyle w:val="TabletextrowsAgency"/>
            </w:pPr>
            <w:r>
              <w:t>1339-1345</w:t>
            </w:r>
          </w:p>
        </w:tc>
        <w:tc>
          <w:tcPr>
            <w:tcW w:w="812" w:type="pct"/>
            <w:shd w:val="clear" w:color="auto" w:fill="E1E3F2"/>
          </w:tcPr>
          <w:p w14:paraId="4398EB24" w14:textId="77777777" w:rsidR="007E72F1" w:rsidRDefault="007E72F1">
            <w:pPr>
              <w:pStyle w:val="TabletextrowsAgency"/>
            </w:pPr>
          </w:p>
        </w:tc>
        <w:tc>
          <w:tcPr>
            <w:tcW w:w="2006" w:type="pct"/>
            <w:shd w:val="clear" w:color="auto" w:fill="E1E3F2"/>
          </w:tcPr>
          <w:p w14:paraId="5C81AF39" w14:textId="77777777" w:rsidR="002A14BD" w:rsidRDefault="00CA5F58" w:rsidP="00CA5F58">
            <w:pPr>
              <w:pStyle w:val="TabletextrowsAgency"/>
            </w:pPr>
            <w:r>
              <w:t>Comment</w:t>
            </w:r>
            <w:r w:rsidRPr="00B822FC">
              <w:t>:</w:t>
            </w:r>
          </w:p>
          <w:p w14:paraId="762C142A" w14:textId="77777777" w:rsidR="00CA5F58" w:rsidRDefault="00CA5F58" w:rsidP="00CA5F58">
            <w:pPr>
              <w:pStyle w:val="TabletextrowsAgency"/>
            </w:pPr>
            <w:r>
              <w:t>Complex ATMP manufacturing processes contain a lot of repetitions of the same manufacturing step</w:t>
            </w:r>
            <w:r w:rsidR="002A14BD">
              <w:t>s</w:t>
            </w:r>
            <w:r>
              <w:t xml:space="preserve"> (e.g. spiking of a certain type of bag, connecting the same type of vessels, centrifugation of a constant volume in the same kind of centrifuge vessel</w:t>
            </w:r>
            <w:r w:rsidR="002A14BD">
              <w:t>, using the same sterile washing kit</w:t>
            </w:r>
            <w:r>
              <w:t xml:space="preserve">……). </w:t>
            </w:r>
            <w:r w:rsidR="002A14BD">
              <w:t>Repeating</w:t>
            </w:r>
            <w:r>
              <w:t xml:space="preserve"> these </w:t>
            </w:r>
            <w:r w:rsidR="002A14BD">
              <w:t xml:space="preserve">uniform </w:t>
            </w:r>
            <w:r>
              <w:t>steps during a Media Fill again and again isn’t an added value, especially for steps that are not really o</w:t>
            </w:r>
            <w:r w:rsidR="002A14BD">
              <w:t>pen</w:t>
            </w:r>
            <w:r>
              <w:t xml:space="preserve"> steps</w:t>
            </w:r>
            <w:r w:rsidR="002A14BD">
              <w:t>, but more semi-closed</w:t>
            </w:r>
            <w:r>
              <w:t xml:space="preserve"> (like spiking, welding etc.). </w:t>
            </w:r>
            <w:r w:rsidR="000F3C21">
              <w:t>Therefore e</w:t>
            </w:r>
            <w:r>
              <w:t xml:space="preserve">ach equal step should be performed only one time within a media fill procedure. </w:t>
            </w:r>
          </w:p>
          <w:p w14:paraId="140E9622" w14:textId="77777777" w:rsidR="002A14BD" w:rsidRDefault="002A14BD" w:rsidP="00CA5F58">
            <w:pPr>
              <w:pStyle w:val="TabletextrowsAgency"/>
            </w:pPr>
          </w:p>
          <w:p w14:paraId="0EA24808" w14:textId="77777777" w:rsidR="00CA5F58" w:rsidRDefault="00CA5F58" w:rsidP="00CA5F58">
            <w:pPr>
              <w:pStyle w:val="TabletextrowsAgency"/>
            </w:pPr>
            <w:r w:rsidRPr="00B822FC">
              <w:t>Proposed change (if any):</w:t>
            </w:r>
          </w:p>
          <w:p w14:paraId="02B21ECC" w14:textId="77777777" w:rsidR="007E72F1" w:rsidRDefault="00CA5F58" w:rsidP="000F3C21">
            <w:pPr>
              <w:pStyle w:val="TabletextrowsAgency"/>
            </w:pPr>
            <w:r>
              <w:t>Including of a sentence that equal steps must not be repeated and can be performed only one time</w:t>
            </w:r>
            <w:r w:rsidR="002A14BD">
              <w:t xml:space="preserve"> within the whole </w:t>
            </w:r>
            <w:r w:rsidR="000F3C21">
              <w:t>M</w:t>
            </w:r>
            <w:r w:rsidR="002A14BD">
              <w:t xml:space="preserve">edia </w:t>
            </w:r>
            <w:r w:rsidR="000F3C21">
              <w:t>F</w:t>
            </w:r>
            <w:r w:rsidR="002A14BD">
              <w:t>ill procedure</w:t>
            </w:r>
            <w:r>
              <w:t xml:space="preserve">. This should be justified by a risk analysis. Only clear open steps </w:t>
            </w:r>
            <w:r w:rsidR="002A14BD">
              <w:t xml:space="preserve">or very risky steps </w:t>
            </w:r>
            <w:r>
              <w:t>should be repeated.</w:t>
            </w:r>
          </w:p>
        </w:tc>
        <w:tc>
          <w:tcPr>
            <w:tcW w:w="1537" w:type="pct"/>
            <w:shd w:val="clear" w:color="auto" w:fill="E1E3F2"/>
          </w:tcPr>
          <w:p w14:paraId="06541AF4" w14:textId="77777777" w:rsidR="007E72F1" w:rsidRPr="00561BA0" w:rsidRDefault="007E72F1">
            <w:pPr>
              <w:pStyle w:val="TabletextrowsAgency"/>
            </w:pPr>
          </w:p>
        </w:tc>
      </w:tr>
      <w:tr w:rsidR="007E72F1" w:rsidRPr="00B822FC" w14:paraId="25E014D7" w14:textId="77777777" w:rsidTr="0067610E">
        <w:tc>
          <w:tcPr>
            <w:tcW w:w="645" w:type="pct"/>
            <w:shd w:val="clear" w:color="auto" w:fill="E1E3F2"/>
          </w:tcPr>
          <w:p w14:paraId="43F2C6EA" w14:textId="77777777" w:rsidR="007E72F1" w:rsidRDefault="002A14BD">
            <w:pPr>
              <w:pStyle w:val="TabletextrowsAgency"/>
            </w:pPr>
            <w:r>
              <w:t>1353-1354</w:t>
            </w:r>
          </w:p>
        </w:tc>
        <w:tc>
          <w:tcPr>
            <w:tcW w:w="812" w:type="pct"/>
            <w:shd w:val="clear" w:color="auto" w:fill="E1E3F2"/>
          </w:tcPr>
          <w:p w14:paraId="53C5D4CD" w14:textId="77777777" w:rsidR="007E72F1" w:rsidRDefault="007E72F1">
            <w:pPr>
              <w:pStyle w:val="TabletextrowsAgency"/>
            </w:pPr>
          </w:p>
        </w:tc>
        <w:tc>
          <w:tcPr>
            <w:tcW w:w="2006" w:type="pct"/>
            <w:shd w:val="clear" w:color="auto" w:fill="E1E3F2"/>
          </w:tcPr>
          <w:p w14:paraId="6781957C" w14:textId="77777777" w:rsidR="002A14BD" w:rsidRDefault="00CA5F58" w:rsidP="00CA5F58">
            <w:pPr>
              <w:pStyle w:val="TabletextrowsAgency"/>
            </w:pPr>
            <w:r>
              <w:t>Comment</w:t>
            </w:r>
            <w:r w:rsidRPr="00B822FC">
              <w:t>:</w:t>
            </w:r>
          </w:p>
          <w:p w14:paraId="7150AE27" w14:textId="77777777" w:rsidR="00CA5F58" w:rsidRDefault="000F3C21" w:rsidP="00CA5F58">
            <w:pPr>
              <w:pStyle w:val="TabletextrowsAgency"/>
            </w:pPr>
            <w:r>
              <w:t>The formulation “…</w:t>
            </w:r>
            <w:r w:rsidR="00CA5F58">
              <w:t>tests per shift” isn’t really clear</w:t>
            </w:r>
            <w:r w:rsidR="007D3C90">
              <w:t xml:space="preserve"> for an ATMP manufacturing process that typically covers several manufacturing days </w:t>
            </w:r>
            <w:r w:rsidR="00DE7299">
              <w:t xml:space="preserve">per batch </w:t>
            </w:r>
            <w:r w:rsidR="007D3C90">
              <w:t xml:space="preserve">with </w:t>
            </w:r>
            <w:r>
              <w:t xml:space="preserve">very </w:t>
            </w:r>
            <w:r w:rsidR="007D3C90">
              <w:t>different length</w:t>
            </w:r>
            <w:r w:rsidR="00DE7299">
              <w:t>/different activities</w:t>
            </w:r>
            <w:r w:rsidR="007D3C90">
              <w:t xml:space="preserve"> per </w:t>
            </w:r>
            <w:r w:rsidR="00DE7299">
              <w:t xml:space="preserve">manufacturing </w:t>
            </w:r>
            <w:r w:rsidR="007D3C90">
              <w:t>day</w:t>
            </w:r>
            <w:r w:rsidR="00CA5F58">
              <w:t>. What does “per shift” mean (</w:t>
            </w:r>
            <w:r>
              <w:t>only one time per six month in case that the manufacturing is performed in a one shift system, e.g. only in normal day shift</w:t>
            </w:r>
            <w:r w:rsidR="00CA5F58">
              <w:t>)?</w:t>
            </w:r>
          </w:p>
          <w:p w14:paraId="3F3614E4" w14:textId="77777777" w:rsidR="00DE7299" w:rsidRDefault="00DE7299" w:rsidP="00CA5F58">
            <w:pPr>
              <w:pStyle w:val="TabletextrowsAgency"/>
            </w:pPr>
          </w:p>
          <w:p w14:paraId="18CC3916" w14:textId="77777777" w:rsidR="00CA5F58" w:rsidRDefault="00CA5F58" w:rsidP="00CA5F58">
            <w:pPr>
              <w:pStyle w:val="TabletextrowsAgency"/>
            </w:pPr>
            <w:r w:rsidRPr="00B822FC">
              <w:t>Proposed change (if any):</w:t>
            </w:r>
          </w:p>
          <w:p w14:paraId="6DB6B4B1" w14:textId="77777777" w:rsidR="007E72F1" w:rsidRDefault="00CA5F58" w:rsidP="007D3C90">
            <w:pPr>
              <w:pStyle w:val="TabletextrowsAgency"/>
            </w:pPr>
            <w:r>
              <w:t xml:space="preserve">The phrase </w:t>
            </w:r>
            <w:r w:rsidR="007D3C90">
              <w:t>…</w:t>
            </w:r>
            <w:r>
              <w:t>“tests per shift” should be explained more clear</w:t>
            </w:r>
            <w:r w:rsidR="00DE7299">
              <w:t>ly</w:t>
            </w:r>
            <w:r>
              <w:t>.</w:t>
            </w:r>
          </w:p>
        </w:tc>
        <w:tc>
          <w:tcPr>
            <w:tcW w:w="1537" w:type="pct"/>
            <w:shd w:val="clear" w:color="auto" w:fill="E1E3F2"/>
          </w:tcPr>
          <w:p w14:paraId="153ED0E1" w14:textId="77777777" w:rsidR="007E72F1" w:rsidRPr="00561BA0" w:rsidRDefault="007E72F1">
            <w:pPr>
              <w:pStyle w:val="TabletextrowsAgency"/>
            </w:pPr>
          </w:p>
        </w:tc>
      </w:tr>
      <w:tr w:rsidR="007E72F1" w:rsidRPr="00B822FC" w14:paraId="04E4D120" w14:textId="77777777" w:rsidTr="0067610E">
        <w:tc>
          <w:tcPr>
            <w:tcW w:w="645" w:type="pct"/>
            <w:shd w:val="clear" w:color="auto" w:fill="E1E3F2"/>
          </w:tcPr>
          <w:p w14:paraId="208C526D" w14:textId="77777777" w:rsidR="007E72F1" w:rsidRDefault="007D3C90">
            <w:pPr>
              <w:pStyle w:val="TabletextrowsAgency"/>
            </w:pPr>
            <w:r>
              <w:t>1355</w:t>
            </w:r>
          </w:p>
        </w:tc>
        <w:tc>
          <w:tcPr>
            <w:tcW w:w="812" w:type="pct"/>
            <w:shd w:val="clear" w:color="auto" w:fill="E1E3F2"/>
          </w:tcPr>
          <w:p w14:paraId="4242DCAA" w14:textId="77777777" w:rsidR="007E72F1" w:rsidRDefault="007E72F1">
            <w:pPr>
              <w:pStyle w:val="TabletextrowsAgency"/>
            </w:pPr>
          </w:p>
        </w:tc>
        <w:tc>
          <w:tcPr>
            <w:tcW w:w="2006" w:type="pct"/>
            <w:shd w:val="clear" w:color="auto" w:fill="E1E3F2"/>
          </w:tcPr>
          <w:p w14:paraId="1A184106" w14:textId="77777777" w:rsidR="00DE7299" w:rsidRDefault="00CA5F58" w:rsidP="00CA5F58">
            <w:pPr>
              <w:pStyle w:val="TabletextrowsAgency"/>
            </w:pPr>
            <w:r>
              <w:t>Comment</w:t>
            </w:r>
            <w:r w:rsidRPr="00B822FC">
              <w:t>:</w:t>
            </w:r>
          </w:p>
          <w:p w14:paraId="2F833FCC" w14:textId="77777777" w:rsidR="00CA5F58" w:rsidRDefault="007D3C90" w:rsidP="00CA5F58">
            <w:pPr>
              <w:pStyle w:val="TabletextrowsAgency"/>
            </w:pPr>
            <w:r>
              <w:t>Every six month is too tight. A yearly repetition is sufficient if there are no changes of process, rooms etc</w:t>
            </w:r>
            <w:r w:rsidR="000F3C21">
              <w:t xml:space="preserve"> and if the process contains only a limited amount of open steps</w:t>
            </w:r>
            <w:r>
              <w:t>.</w:t>
            </w:r>
          </w:p>
          <w:p w14:paraId="59334CED" w14:textId="77777777" w:rsidR="00DE7299" w:rsidRDefault="00DE7299" w:rsidP="00CA5F58">
            <w:pPr>
              <w:pStyle w:val="TabletextrowsAgency"/>
            </w:pPr>
          </w:p>
          <w:p w14:paraId="201AF571" w14:textId="77777777" w:rsidR="00CA5F58" w:rsidRDefault="00CA5F58" w:rsidP="00CA5F58">
            <w:pPr>
              <w:pStyle w:val="TabletextrowsAgency"/>
            </w:pPr>
            <w:r w:rsidRPr="00B822FC">
              <w:t>Proposed change (if any):</w:t>
            </w:r>
          </w:p>
          <w:p w14:paraId="4546C59E" w14:textId="77777777" w:rsidR="007E72F1" w:rsidRDefault="007D3C90">
            <w:pPr>
              <w:pStyle w:val="TabletextrowsAgency"/>
            </w:pPr>
            <w:r>
              <w:t>Changing to every 12 month.</w:t>
            </w:r>
          </w:p>
        </w:tc>
        <w:tc>
          <w:tcPr>
            <w:tcW w:w="1537" w:type="pct"/>
            <w:shd w:val="clear" w:color="auto" w:fill="E1E3F2"/>
          </w:tcPr>
          <w:p w14:paraId="471828DF" w14:textId="77777777" w:rsidR="007E72F1" w:rsidRPr="00561BA0" w:rsidRDefault="007E72F1">
            <w:pPr>
              <w:pStyle w:val="TabletextrowsAgency"/>
            </w:pPr>
          </w:p>
        </w:tc>
      </w:tr>
      <w:tr w:rsidR="007E72F1" w:rsidRPr="00B822FC" w14:paraId="62465238" w14:textId="77777777" w:rsidTr="0067610E">
        <w:tc>
          <w:tcPr>
            <w:tcW w:w="645" w:type="pct"/>
            <w:shd w:val="clear" w:color="auto" w:fill="E1E3F2"/>
          </w:tcPr>
          <w:p w14:paraId="5937717F" w14:textId="77777777" w:rsidR="007E72F1" w:rsidRDefault="007D3C90">
            <w:pPr>
              <w:pStyle w:val="TabletextrowsAgency"/>
            </w:pPr>
            <w:r>
              <w:t>1356</w:t>
            </w:r>
          </w:p>
        </w:tc>
        <w:tc>
          <w:tcPr>
            <w:tcW w:w="812" w:type="pct"/>
            <w:shd w:val="clear" w:color="auto" w:fill="E1E3F2"/>
          </w:tcPr>
          <w:p w14:paraId="3F09E9CE" w14:textId="77777777" w:rsidR="007E72F1" w:rsidRDefault="007E72F1">
            <w:pPr>
              <w:pStyle w:val="TabletextrowsAgency"/>
            </w:pPr>
          </w:p>
        </w:tc>
        <w:tc>
          <w:tcPr>
            <w:tcW w:w="2006" w:type="pct"/>
            <w:shd w:val="clear" w:color="auto" w:fill="E1E3F2"/>
          </w:tcPr>
          <w:p w14:paraId="7A5B676A" w14:textId="77777777" w:rsidR="00DE7299" w:rsidRDefault="007D3C90" w:rsidP="007D3C90">
            <w:pPr>
              <w:pStyle w:val="TabletextrowsAgency"/>
            </w:pPr>
            <w:r>
              <w:t>Comment</w:t>
            </w:r>
            <w:r w:rsidRPr="00B822FC">
              <w:t>:</w:t>
            </w:r>
          </w:p>
          <w:p w14:paraId="1F9B36B6" w14:textId="77777777" w:rsidR="007D3C90" w:rsidRDefault="007D3C90" w:rsidP="007D3C90">
            <w:pPr>
              <w:pStyle w:val="TabletextrowsAgency"/>
            </w:pPr>
            <w:r>
              <w:t xml:space="preserve">The formulation “….per shift” </w:t>
            </w:r>
            <w:r w:rsidR="00DE7299">
              <w:t xml:space="preserve">isn’t really clear for an ATMP manufacturing process that typically covers several manufacturing days per batch with different length/different activities per manufacturing day. </w:t>
            </w:r>
            <w:r w:rsidR="009F5C0A">
              <w:t>What does “per shift” mean (only one time per six month in case that the manufacturing is performed in a one shift system, e.g. only in normal day shift)?</w:t>
            </w:r>
          </w:p>
          <w:p w14:paraId="208E987F" w14:textId="77777777" w:rsidR="00DE7299" w:rsidRDefault="00DE7299" w:rsidP="007D3C90">
            <w:pPr>
              <w:pStyle w:val="TabletextrowsAgency"/>
            </w:pPr>
          </w:p>
          <w:p w14:paraId="197CF257" w14:textId="77777777" w:rsidR="007D3C90" w:rsidRDefault="007D3C90" w:rsidP="007D3C90">
            <w:pPr>
              <w:pStyle w:val="TabletextrowsAgency"/>
            </w:pPr>
            <w:r w:rsidRPr="00B822FC">
              <w:t>Proposed change (if any):</w:t>
            </w:r>
          </w:p>
          <w:p w14:paraId="6969C1E7" w14:textId="77777777" w:rsidR="007E72F1" w:rsidRDefault="007D3C90" w:rsidP="007D3C90">
            <w:pPr>
              <w:pStyle w:val="TabletextrowsAgency"/>
            </w:pPr>
            <w:r>
              <w:t>The phrase …“per shift” should be explained more clear</w:t>
            </w:r>
            <w:r w:rsidR="00DE7299">
              <w:t>ly</w:t>
            </w:r>
            <w:r>
              <w:t>.</w:t>
            </w:r>
          </w:p>
        </w:tc>
        <w:tc>
          <w:tcPr>
            <w:tcW w:w="1537" w:type="pct"/>
            <w:shd w:val="clear" w:color="auto" w:fill="E1E3F2"/>
          </w:tcPr>
          <w:p w14:paraId="1940B401" w14:textId="77777777" w:rsidR="007E72F1" w:rsidRPr="00561BA0" w:rsidRDefault="007E72F1">
            <w:pPr>
              <w:pStyle w:val="TabletextrowsAgency"/>
            </w:pPr>
          </w:p>
        </w:tc>
      </w:tr>
      <w:tr w:rsidR="007E72F1" w:rsidRPr="00B822FC" w14:paraId="56077A43" w14:textId="77777777" w:rsidTr="0067610E">
        <w:tc>
          <w:tcPr>
            <w:tcW w:w="645" w:type="pct"/>
            <w:shd w:val="clear" w:color="auto" w:fill="E1E3F2"/>
          </w:tcPr>
          <w:p w14:paraId="3ECD0F9A" w14:textId="77777777" w:rsidR="007E72F1" w:rsidRPr="00CF6077" w:rsidRDefault="000D6DE4">
            <w:pPr>
              <w:pStyle w:val="TabletextrowsAgency"/>
              <w:rPr>
                <w:color w:val="FF0000"/>
              </w:rPr>
            </w:pPr>
            <w:r w:rsidRPr="0039084A">
              <w:t>1459-1460</w:t>
            </w:r>
          </w:p>
        </w:tc>
        <w:tc>
          <w:tcPr>
            <w:tcW w:w="812" w:type="pct"/>
            <w:shd w:val="clear" w:color="auto" w:fill="E1E3F2"/>
          </w:tcPr>
          <w:p w14:paraId="5BDC57F1" w14:textId="77777777" w:rsidR="007E72F1" w:rsidRDefault="007E72F1">
            <w:pPr>
              <w:pStyle w:val="TabletextrowsAgency"/>
            </w:pPr>
          </w:p>
        </w:tc>
        <w:tc>
          <w:tcPr>
            <w:tcW w:w="2006" w:type="pct"/>
            <w:shd w:val="clear" w:color="auto" w:fill="E1E3F2"/>
          </w:tcPr>
          <w:p w14:paraId="2F269FF4" w14:textId="77777777" w:rsidR="00DE7299" w:rsidRDefault="00CA5F58" w:rsidP="00CA5F58">
            <w:pPr>
              <w:pStyle w:val="TabletextrowsAgency"/>
            </w:pPr>
            <w:r>
              <w:t>Comment</w:t>
            </w:r>
            <w:r w:rsidRPr="00B822FC">
              <w:t>:</w:t>
            </w:r>
          </w:p>
          <w:p w14:paraId="77D32097" w14:textId="14F602FC" w:rsidR="00CA5F58" w:rsidRDefault="0001298B" w:rsidP="00CA5F58">
            <w:pPr>
              <w:pStyle w:val="TabletextrowsAgency"/>
            </w:pPr>
            <w:r>
              <w:t xml:space="preserve">It should be distinguished between </w:t>
            </w:r>
            <w:r w:rsidR="00DB38FA">
              <w:t xml:space="preserve">grade </w:t>
            </w:r>
            <w:r>
              <w:t xml:space="preserve">A </w:t>
            </w:r>
            <w:r w:rsidR="00DE7299">
              <w:t xml:space="preserve">clean </w:t>
            </w:r>
            <w:r>
              <w:t xml:space="preserve">rooms and other </w:t>
            </w:r>
            <w:r w:rsidR="00DB38FA">
              <w:t xml:space="preserve">grade </w:t>
            </w:r>
            <w:r>
              <w:t xml:space="preserve">A areas (BSC, isolator). </w:t>
            </w:r>
            <w:r w:rsidR="000D6DE4">
              <w:t xml:space="preserve">It should be included that </w:t>
            </w:r>
            <w:r w:rsidR="009F5C0A">
              <w:t>for BSC</w:t>
            </w:r>
            <w:r>
              <w:t xml:space="preserve">s a full </w:t>
            </w:r>
            <w:r w:rsidR="000D6DE4">
              <w:t xml:space="preserve">requalification </w:t>
            </w:r>
            <w:r>
              <w:t xml:space="preserve">(all issues according to </w:t>
            </w:r>
            <w:r w:rsidRPr="0001298B">
              <w:t>DIN EN 12469</w:t>
            </w:r>
            <w:r>
              <w:t xml:space="preserve">) should be performed </w:t>
            </w:r>
            <w:r w:rsidR="00DE7299">
              <w:t xml:space="preserve">only </w:t>
            </w:r>
            <w:r>
              <w:t>every 12 month</w:t>
            </w:r>
            <w:r w:rsidR="009F5C0A">
              <w:t>s</w:t>
            </w:r>
            <w:r>
              <w:t xml:space="preserve"> and not every 6 month</w:t>
            </w:r>
            <w:r w:rsidR="009F5C0A">
              <w:t>s</w:t>
            </w:r>
            <w:r>
              <w:t xml:space="preserve">. The manufacturers of BSC’s recommend the procedure according to </w:t>
            </w:r>
            <w:r w:rsidRPr="0001298B">
              <w:t>DIN EN 12469</w:t>
            </w:r>
            <w:r>
              <w:t xml:space="preserve"> one</w:t>
            </w:r>
            <w:r w:rsidR="00DE7299">
              <w:t xml:space="preserve"> time</w:t>
            </w:r>
            <w:r>
              <w:t xml:space="preserve"> per year.</w:t>
            </w:r>
          </w:p>
          <w:p w14:paraId="79962F99" w14:textId="77777777" w:rsidR="00DE7299" w:rsidRDefault="00DE7299" w:rsidP="00CA5F58">
            <w:pPr>
              <w:pStyle w:val="TabletextrowsAgency"/>
            </w:pPr>
          </w:p>
          <w:p w14:paraId="11ACEC68" w14:textId="77777777" w:rsidR="007E72F1" w:rsidRDefault="00CA5F58">
            <w:pPr>
              <w:pStyle w:val="TabletextrowsAgency"/>
            </w:pPr>
            <w:r w:rsidRPr="00B822FC">
              <w:t>Proposed change (if any):</w:t>
            </w:r>
          </w:p>
          <w:p w14:paraId="31F613F2" w14:textId="77777777" w:rsidR="00B969FB" w:rsidRDefault="00B969FB">
            <w:pPr>
              <w:pStyle w:val="TabletextrowsAgency"/>
            </w:pPr>
            <w:r>
              <w:t xml:space="preserve">Inclusion of a sentence that a full procedure according DIN EN 12469 isn’t necessary </w:t>
            </w:r>
            <w:r w:rsidR="009F5C0A">
              <w:t>every 6 month.</w:t>
            </w:r>
          </w:p>
        </w:tc>
        <w:tc>
          <w:tcPr>
            <w:tcW w:w="1537" w:type="pct"/>
            <w:shd w:val="clear" w:color="auto" w:fill="E1E3F2"/>
          </w:tcPr>
          <w:p w14:paraId="4867ED4D" w14:textId="77777777" w:rsidR="007E72F1" w:rsidRPr="00561BA0" w:rsidRDefault="007E72F1">
            <w:pPr>
              <w:pStyle w:val="TabletextrowsAgency"/>
            </w:pPr>
          </w:p>
        </w:tc>
      </w:tr>
      <w:tr w:rsidR="00CF6077" w:rsidRPr="00B822FC" w14:paraId="01E9D91F" w14:textId="77777777" w:rsidTr="00CF6077">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77EA4DA1" w14:textId="77777777" w:rsidR="00CF6077" w:rsidRPr="00CF6077" w:rsidRDefault="00CF6077" w:rsidP="00187FED">
            <w:pPr>
              <w:pStyle w:val="TabletextrowsAgency"/>
              <w:rPr>
                <w:color w:val="FF0000"/>
              </w:rPr>
            </w:pPr>
            <w:r w:rsidRPr="0039084A">
              <w:t>1459-1461</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72B10BE7" w14:textId="77777777" w:rsidR="00CF6077" w:rsidRDefault="00CF6077" w:rsidP="00187FED">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0D2284D9" w14:textId="77777777" w:rsidR="00CF6077" w:rsidRDefault="00CF6077" w:rsidP="00187FED">
            <w:pPr>
              <w:pStyle w:val="TabletextrowsAgency"/>
            </w:pPr>
            <w:r>
              <w:t xml:space="preserve">Comment: ISO 14644-2:2015 </w:t>
            </w:r>
            <w:r w:rsidRPr="001615E0">
              <w:t xml:space="preserve">does not </w:t>
            </w:r>
            <w:r>
              <w:t xml:space="preserve">explicitly </w:t>
            </w:r>
            <w:r w:rsidRPr="001615E0">
              <w:t>require</w:t>
            </w:r>
            <w:r>
              <w:t xml:space="preserve"> grade A classification every six months. Reference to this standard should be sufficient and conflicting messages avoided. In case of “very small production” (meaning low frequency?) there is a lack of frequent data which is not supportive of a lower classification frequency.</w:t>
            </w:r>
          </w:p>
          <w:p w14:paraId="004F29EA" w14:textId="77777777" w:rsidR="00CF6077" w:rsidRDefault="00CF6077" w:rsidP="00187FED">
            <w:pPr>
              <w:pStyle w:val="TabletextrowsAgency"/>
            </w:pPr>
            <w:r>
              <w:t>Proposed change</w:t>
            </w:r>
            <w:r w:rsidRPr="00B822FC">
              <w:t>:</w:t>
            </w:r>
            <w:r>
              <w:t xml:space="preserve"> Delete</w:t>
            </w:r>
          </w:p>
          <w:p w14:paraId="7807A882" w14:textId="77777777" w:rsidR="00CF6077" w:rsidRPr="00FB404F" w:rsidRDefault="00CF6077" w:rsidP="00187FED">
            <w:pPr>
              <w:pStyle w:val="TabletextrowsAgency"/>
              <w:rPr>
                <w:strike/>
                <w:color w:val="C00000"/>
              </w:rPr>
            </w:pPr>
            <w:r w:rsidRPr="00FB404F">
              <w:rPr>
                <w:strike/>
                <w:color w:val="C00000"/>
              </w:rPr>
              <w:t>In general, for clean rooms of grade A, requalification is expected every six months, while for B, C and D grades requalification is expected on a yearly basis. A different frequency may, however, be justified in case of very small production.</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58D86D66" w14:textId="77777777" w:rsidR="00CF6077" w:rsidRPr="00561BA0" w:rsidRDefault="00CF6077" w:rsidP="00187FED">
            <w:pPr>
              <w:pStyle w:val="TabletextrowsAgency"/>
            </w:pPr>
          </w:p>
        </w:tc>
      </w:tr>
      <w:tr w:rsidR="00CF6077" w:rsidRPr="00B822FC" w14:paraId="4725F811" w14:textId="77777777" w:rsidTr="00CF6077">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033B1F6E" w14:textId="77777777" w:rsidR="00CF6077" w:rsidRPr="00CF6077" w:rsidRDefault="00CF6077" w:rsidP="00187FED">
            <w:pPr>
              <w:pStyle w:val="TabletextrowsAgency"/>
            </w:pPr>
            <w:r w:rsidRPr="00CF6077">
              <w:t>1490-1493</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0E31760A" w14:textId="77777777" w:rsidR="00CF6077" w:rsidRDefault="00CF6077" w:rsidP="00187FED">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1A8A1527" w14:textId="77777777" w:rsidR="00CF6077" w:rsidRDefault="00CF6077" w:rsidP="00187FED">
            <w:pPr>
              <w:pStyle w:val="TabletextrowsAgency"/>
            </w:pPr>
            <w:r>
              <w:t>Comment: That some tests should be performed at the vendor’s site is too strict a requirement.</w:t>
            </w:r>
          </w:p>
          <w:p w14:paraId="3E5A3BE0" w14:textId="77777777" w:rsidR="00CF6077" w:rsidRDefault="00CF6077" w:rsidP="00187FED">
            <w:pPr>
              <w:pStyle w:val="TabletextrowsAgency"/>
            </w:pPr>
            <w:r>
              <w:t>Proposed change</w:t>
            </w:r>
            <w:r w:rsidRPr="00B822FC">
              <w:t>:</w:t>
            </w:r>
          </w:p>
          <w:p w14:paraId="26B7C554" w14:textId="77777777" w:rsidR="00CF6077" w:rsidRDefault="00CF6077" w:rsidP="00187FED">
            <w:pPr>
              <w:pStyle w:val="TabletextrowsAgency"/>
            </w:pPr>
            <w:r>
              <w:t xml:space="preserve">… </w:t>
            </w:r>
            <w:r w:rsidRPr="00CE0785">
              <w:t xml:space="preserve">and some tests </w:t>
            </w:r>
            <w:r w:rsidRPr="00FB404F">
              <w:rPr>
                <w:strike/>
                <w:color w:val="C00000"/>
              </w:rPr>
              <w:t>should</w:t>
            </w:r>
            <w:r w:rsidRPr="00CE0785">
              <w:t xml:space="preserve"> </w:t>
            </w:r>
            <w:r w:rsidRPr="00187FED">
              <w:rPr>
                <w:color w:val="4F81BD"/>
              </w:rPr>
              <w:t>could</w:t>
            </w:r>
            <w:r>
              <w:t xml:space="preserve"> </w:t>
            </w:r>
            <w:r w:rsidRPr="00CE0785">
              <w:t>be performed at the vendor’s site</w:t>
            </w:r>
            <w:r>
              <w:t xml:space="preserve"> …</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7319FDAE" w14:textId="77777777" w:rsidR="00CF6077" w:rsidRPr="00561BA0" w:rsidRDefault="00CF6077" w:rsidP="00187FED">
            <w:pPr>
              <w:pStyle w:val="TabletextrowsAgency"/>
            </w:pPr>
          </w:p>
        </w:tc>
      </w:tr>
      <w:tr w:rsidR="00537F3B" w:rsidRPr="00B822FC" w14:paraId="16C58FD1" w14:textId="77777777" w:rsidTr="00537F3B">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16AA87C2" w14:textId="77777777" w:rsidR="00537F3B" w:rsidRDefault="00537F3B" w:rsidP="003976B1">
            <w:pPr>
              <w:pStyle w:val="TabletextrowsAgency"/>
            </w:pPr>
            <w:r>
              <w:t>1575</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2726E050" w14:textId="77777777" w:rsidR="00537F3B" w:rsidRDefault="00537F3B" w:rsidP="003976B1">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197837CE" w14:textId="77777777" w:rsidR="00537F3B" w:rsidRDefault="00537F3B" w:rsidP="003976B1">
            <w:pPr>
              <w:pStyle w:val="TabletextrowsAgency"/>
            </w:pPr>
            <w:r>
              <w:t>Comment</w:t>
            </w:r>
            <w:r w:rsidRPr="00B822FC">
              <w:t>:</w:t>
            </w:r>
          </w:p>
          <w:p w14:paraId="34018C0A" w14:textId="3CDD2FD3" w:rsidR="00537F3B" w:rsidRDefault="00537F3B" w:rsidP="003976B1">
            <w:pPr>
              <w:pStyle w:val="TabletextrowsAgency"/>
            </w:pPr>
            <w:r>
              <w:t>The wording “consecutive” should be deleted for autologous products. In case of autologous products and in case of using patient-derived starting material it’s realistic that a batch can fail (due to intrinsic factors related to the starting material).</w:t>
            </w:r>
          </w:p>
          <w:p w14:paraId="3A6629EF" w14:textId="77777777" w:rsidR="00537F3B" w:rsidRDefault="00537F3B" w:rsidP="003976B1">
            <w:pPr>
              <w:pStyle w:val="TabletextrowsAgency"/>
            </w:pPr>
            <w:r w:rsidRPr="00B822FC">
              <w:t>Proposed change (if any):</w:t>
            </w:r>
          </w:p>
          <w:p w14:paraId="7C63888B" w14:textId="77777777" w:rsidR="00537F3B" w:rsidRDefault="00537F3B" w:rsidP="003976B1">
            <w:pPr>
              <w:pStyle w:val="TabletextrowsAgency"/>
            </w:pPr>
            <w:r>
              <w:t>Deleting “consecutive” or writing “in best case consecutive”.</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117A2AB8" w14:textId="77777777" w:rsidR="00537F3B" w:rsidRPr="00561BA0" w:rsidRDefault="00537F3B" w:rsidP="003976B1">
            <w:pPr>
              <w:pStyle w:val="TabletextrowsAgency"/>
            </w:pPr>
          </w:p>
        </w:tc>
      </w:tr>
      <w:tr w:rsidR="0001450C" w:rsidRPr="00B822FC" w14:paraId="229507B4" w14:textId="77777777" w:rsidTr="0067610E">
        <w:tc>
          <w:tcPr>
            <w:tcW w:w="645" w:type="pct"/>
            <w:shd w:val="clear" w:color="auto" w:fill="E1E3F2"/>
          </w:tcPr>
          <w:p w14:paraId="342AF688" w14:textId="77777777" w:rsidR="0001450C" w:rsidRDefault="0001450C">
            <w:pPr>
              <w:pStyle w:val="TabletextrowsAgency"/>
            </w:pPr>
            <w:r>
              <w:t>1</w:t>
            </w:r>
            <w:r w:rsidRPr="0001450C">
              <w:t>624</w:t>
            </w:r>
          </w:p>
        </w:tc>
        <w:tc>
          <w:tcPr>
            <w:tcW w:w="812" w:type="pct"/>
            <w:shd w:val="clear" w:color="auto" w:fill="E1E3F2"/>
          </w:tcPr>
          <w:p w14:paraId="6F407C52" w14:textId="77777777" w:rsidR="0001450C" w:rsidRDefault="0001450C">
            <w:pPr>
              <w:pStyle w:val="TabletextrowsAgency"/>
            </w:pPr>
          </w:p>
        </w:tc>
        <w:tc>
          <w:tcPr>
            <w:tcW w:w="2006" w:type="pct"/>
            <w:shd w:val="clear" w:color="auto" w:fill="E1E3F2"/>
          </w:tcPr>
          <w:p w14:paraId="17EE497B" w14:textId="77777777" w:rsidR="0001450C" w:rsidRDefault="0001450C" w:rsidP="00CA5F58">
            <w:pPr>
              <w:pStyle w:val="TabletextrowsAgency"/>
            </w:pPr>
            <w:r>
              <w:t>Comment:</w:t>
            </w:r>
          </w:p>
          <w:p w14:paraId="2B85B88B" w14:textId="77777777" w:rsidR="0001450C" w:rsidRDefault="0001450C" w:rsidP="00CA5F58">
            <w:pPr>
              <w:pStyle w:val="TabletextrowsAgency"/>
            </w:pPr>
            <w:r w:rsidRPr="0001450C">
              <w:t>Validation of the manufacturing process for investigational ATMP is not necessary. Contradictory to the requirements to get a manufacturing license where validation is necessary in general.</w:t>
            </w:r>
          </w:p>
        </w:tc>
        <w:tc>
          <w:tcPr>
            <w:tcW w:w="1537" w:type="pct"/>
            <w:shd w:val="clear" w:color="auto" w:fill="E1E3F2"/>
          </w:tcPr>
          <w:p w14:paraId="44058390" w14:textId="77777777" w:rsidR="0001450C" w:rsidRPr="00561BA0" w:rsidRDefault="0001450C">
            <w:pPr>
              <w:pStyle w:val="TabletextrowsAgency"/>
            </w:pPr>
          </w:p>
        </w:tc>
      </w:tr>
      <w:tr w:rsidR="00CF6077" w:rsidRPr="00B822FC" w14:paraId="659C03E1" w14:textId="77777777" w:rsidTr="00CF6077">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4A553671" w14:textId="77777777" w:rsidR="00CF6077" w:rsidRDefault="00CF6077" w:rsidP="00187FED">
            <w:pPr>
              <w:pStyle w:val="TabletextrowsAgency"/>
            </w:pPr>
            <w:r>
              <w:t>1639-1640</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421673C7" w14:textId="77777777" w:rsidR="00CF6077" w:rsidRDefault="00CF6077" w:rsidP="00187FED">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72647441" w14:textId="77777777" w:rsidR="00CF6077" w:rsidRDefault="00CF6077" w:rsidP="00187FED">
            <w:pPr>
              <w:pStyle w:val="TabletextrowsAgency"/>
            </w:pPr>
            <w:r>
              <w:t>Comment: “validated throughout clinical development” would mean validated even in/for phase I clinical trial, which is not consistent with “… finalized before phase III …”</w:t>
            </w:r>
          </w:p>
          <w:p w14:paraId="12CCCF16" w14:textId="77777777" w:rsidR="00CF6077" w:rsidRDefault="00CF6077" w:rsidP="00187FED">
            <w:pPr>
              <w:pStyle w:val="TabletextrowsAgency"/>
            </w:pPr>
            <w:r>
              <w:t>Proposed change</w:t>
            </w:r>
            <w:r w:rsidRPr="00B822FC">
              <w:t>:</w:t>
            </w:r>
          </w:p>
          <w:p w14:paraId="56314101" w14:textId="77777777" w:rsidR="00CF6077" w:rsidRDefault="00CF6077" w:rsidP="00187FED">
            <w:pPr>
              <w:pStyle w:val="TabletextrowsAgency"/>
            </w:pPr>
            <w:r w:rsidRPr="00851116">
              <w:t xml:space="preserve">Potency assays should be </w:t>
            </w:r>
            <w:r w:rsidRPr="00187FED">
              <w:rPr>
                <w:color w:val="4F81BD"/>
              </w:rPr>
              <w:t>qualified in</w:t>
            </w:r>
            <w:r>
              <w:t xml:space="preserve"> </w:t>
            </w:r>
            <w:r w:rsidRPr="00FB404F">
              <w:rPr>
                <w:strike/>
                <w:color w:val="C00000"/>
              </w:rPr>
              <w:t>validated throughout</w:t>
            </w:r>
            <w:r w:rsidRPr="00851116">
              <w:t xml:space="preserve"> </w:t>
            </w:r>
            <w:r w:rsidRPr="00187FED">
              <w:rPr>
                <w:color w:val="4F81BD"/>
              </w:rPr>
              <w:t>early</w:t>
            </w:r>
            <w:r>
              <w:t xml:space="preserve"> </w:t>
            </w:r>
            <w:r w:rsidRPr="00851116">
              <w:t xml:space="preserve">clinical development </w:t>
            </w:r>
            <w:r>
              <w:t xml:space="preserve">and </w:t>
            </w:r>
            <w:r w:rsidRPr="00FB404F">
              <w:rPr>
                <w:strike/>
                <w:color w:val="C00000"/>
              </w:rPr>
              <w:t>(i.e. typically</w:t>
            </w:r>
            <w:r w:rsidRPr="00851116">
              <w:t xml:space="preserve"> validation finalized before phase III clinical trials</w:t>
            </w:r>
            <w:r w:rsidRPr="00FB404F">
              <w:rPr>
                <w:strike/>
                <w:color w:val="C00000"/>
              </w:rPr>
              <w:t>)</w:t>
            </w:r>
            <w:r w:rsidRPr="00851116">
              <w:t>.</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3A979E2D" w14:textId="77777777" w:rsidR="00CF6077" w:rsidRPr="00561BA0" w:rsidRDefault="00CF6077" w:rsidP="00187FED">
            <w:pPr>
              <w:pStyle w:val="TabletextrowsAgency"/>
            </w:pPr>
          </w:p>
        </w:tc>
      </w:tr>
      <w:tr w:rsidR="00CF6077" w:rsidRPr="00B822FC" w14:paraId="2FB1C68B" w14:textId="77777777" w:rsidTr="00CF6077">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2D4DBF48" w14:textId="77777777" w:rsidR="00CF6077" w:rsidRDefault="00CF6077" w:rsidP="00187FED">
            <w:pPr>
              <w:pStyle w:val="TabletextrowsAgency"/>
            </w:pPr>
            <w:r>
              <w:t>1659-1661</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1AB00041" w14:textId="77777777" w:rsidR="00CF6077" w:rsidRDefault="00CF6077" w:rsidP="00187FED">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6D0681F2" w14:textId="061F8449" w:rsidR="00CF6077" w:rsidRDefault="00CF6077" w:rsidP="00187FED">
            <w:pPr>
              <w:pStyle w:val="TabletextrowsAgency"/>
            </w:pPr>
            <w:r>
              <w:t xml:space="preserve">Comment: Requirements for QP’s qualification </w:t>
            </w:r>
            <w:r w:rsidR="00835CE7">
              <w:t>should</w:t>
            </w:r>
            <w:r w:rsidR="000D2AE6">
              <w:t xml:space="preserve"> be reworded</w:t>
            </w:r>
            <w:r w:rsidR="00835CE7">
              <w:t xml:space="preserve">. Training leads to experience and Article 49 of Directive 2001/83 </w:t>
            </w:r>
            <w:r w:rsidR="00F41580">
              <w:t>is focussing on experience.</w:t>
            </w:r>
          </w:p>
          <w:p w14:paraId="72CB3817" w14:textId="77777777" w:rsidR="00CF6077" w:rsidRDefault="000D2AE6" w:rsidP="00187FED">
            <w:pPr>
              <w:pStyle w:val="TabletextrowsAgency"/>
            </w:pPr>
            <w:r w:rsidRPr="000D2AE6">
              <w:t>Proposed change:</w:t>
            </w:r>
          </w:p>
          <w:p w14:paraId="2DB413EE" w14:textId="0222A569" w:rsidR="000D2AE6" w:rsidRDefault="00835CE7" w:rsidP="00835CE7">
            <w:pPr>
              <w:pStyle w:val="TabletextrowsAgency"/>
            </w:pPr>
            <w:r>
              <w:t xml:space="preserve">In addition to having the qualification requirements provided under Article 49 of Directive 2011/83, QP´s responsible for ATMPs should have </w:t>
            </w:r>
            <w:r w:rsidRPr="00835CE7">
              <w:rPr>
                <w:strike/>
                <w:color w:val="C00000"/>
              </w:rPr>
              <w:t xml:space="preserve">training and </w:t>
            </w:r>
            <w:r>
              <w:t xml:space="preserve">experience relevant to specific characteristics of these products, </w:t>
            </w:r>
            <w:r w:rsidRPr="00F41580">
              <w:rPr>
                <w:strike/>
                <w:color w:val="C00000"/>
              </w:rPr>
              <w:t>including</w:t>
            </w:r>
            <w:r>
              <w:t xml:space="preserve"> </w:t>
            </w:r>
            <w:r w:rsidR="00F41580" w:rsidRPr="00F41580">
              <w:rPr>
                <w:color w:val="5B9BD5" w:themeColor="accent1"/>
              </w:rPr>
              <w:t xml:space="preserve">as appropriate </w:t>
            </w:r>
            <w:r>
              <w:t>cell and tissue biology, …</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706D6467" w14:textId="77777777" w:rsidR="00CF6077" w:rsidRPr="00561BA0" w:rsidRDefault="00CF6077" w:rsidP="00187FED">
            <w:pPr>
              <w:pStyle w:val="TabletextrowsAgency"/>
            </w:pPr>
          </w:p>
        </w:tc>
      </w:tr>
      <w:tr w:rsidR="00C97A06" w:rsidRPr="0039084A" w14:paraId="79780F1F" w14:textId="77777777" w:rsidTr="007355D7">
        <w:tc>
          <w:tcPr>
            <w:tcW w:w="645" w:type="pct"/>
            <w:shd w:val="clear" w:color="auto" w:fill="E1E3F2"/>
          </w:tcPr>
          <w:p w14:paraId="521A978A" w14:textId="77777777" w:rsidR="00C97A06" w:rsidRPr="0039084A" w:rsidRDefault="00034EB9" w:rsidP="007355D7">
            <w:pPr>
              <w:pStyle w:val="TabletextrowsAgency"/>
            </w:pPr>
            <w:r w:rsidRPr="0039084A">
              <w:t>1761-1763</w:t>
            </w:r>
          </w:p>
        </w:tc>
        <w:tc>
          <w:tcPr>
            <w:tcW w:w="812" w:type="pct"/>
            <w:shd w:val="clear" w:color="auto" w:fill="E1E3F2"/>
          </w:tcPr>
          <w:p w14:paraId="61346930" w14:textId="77777777" w:rsidR="00C97A06" w:rsidRPr="0039084A" w:rsidRDefault="00C97A06" w:rsidP="007355D7">
            <w:pPr>
              <w:pStyle w:val="TabletextrowsAgency"/>
            </w:pPr>
          </w:p>
        </w:tc>
        <w:tc>
          <w:tcPr>
            <w:tcW w:w="2006" w:type="pct"/>
            <w:shd w:val="clear" w:color="auto" w:fill="E1E3F2"/>
          </w:tcPr>
          <w:p w14:paraId="32B45165" w14:textId="77777777" w:rsidR="00C97A06" w:rsidRPr="0039084A" w:rsidRDefault="00C97A06" w:rsidP="007355D7">
            <w:pPr>
              <w:pStyle w:val="TabletextrowsAgency"/>
            </w:pPr>
            <w:r w:rsidRPr="0039084A">
              <w:t>Comment:</w:t>
            </w:r>
          </w:p>
          <w:p w14:paraId="4AA36C4D" w14:textId="77777777" w:rsidR="00034EB9" w:rsidRPr="0039084A" w:rsidRDefault="00034EB9" w:rsidP="007355D7">
            <w:pPr>
              <w:pStyle w:val="TabletextrowsAgency"/>
            </w:pPr>
            <w:r w:rsidRPr="0039084A">
              <w:t>Should be harmonized with the 30 years necessary for the issues mentioned in 6.6. It’s not practically to discard parts of the batch documentation earlier than other parts.</w:t>
            </w:r>
          </w:p>
          <w:p w14:paraId="7A7EB34A" w14:textId="77777777" w:rsidR="00C97A06" w:rsidRPr="0039084A" w:rsidRDefault="00C97A06" w:rsidP="007355D7">
            <w:pPr>
              <w:pStyle w:val="TabletextrowsAgency"/>
            </w:pPr>
            <w:r w:rsidRPr="0039084A">
              <w:t>Proposed change (if any):</w:t>
            </w:r>
          </w:p>
          <w:p w14:paraId="69B11E9B" w14:textId="77777777" w:rsidR="00C97A06" w:rsidRPr="0039084A" w:rsidRDefault="00034EB9" w:rsidP="007355D7">
            <w:pPr>
              <w:pStyle w:val="TabletextrowsAgency"/>
            </w:pPr>
            <w:r w:rsidRPr="0039084A">
              <w:t>Harmonization with the wording in 6.5. and 6.6.</w:t>
            </w:r>
          </w:p>
        </w:tc>
        <w:tc>
          <w:tcPr>
            <w:tcW w:w="1537" w:type="pct"/>
            <w:shd w:val="clear" w:color="auto" w:fill="E1E3F2"/>
          </w:tcPr>
          <w:p w14:paraId="4AF022E9" w14:textId="77777777" w:rsidR="00C97A06" w:rsidRPr="0039084A" w:rsidRDefault="00C97A06" w:rsidP="007355D7">
            <w:pPr>
              <w:pStyle w:val="TabletextrowsAgency"/>
            </w:pPr>
          </w:p>
        </w:tc>
      </w:tr>
      <w:tr w:rsidR="00537F3B" w:rsidRPr="0039084A" w14:paraId="1EA81FCB" w14:textId="77777777" w:rsidTr="007355D7">
        <w:tc>
          <w:tcPr>
            <w:tcW w:w="645" w:type="pct"/>
            <w:shd w:val="clear" w:color="auto" w:fill="E1E3F2"/>
          </w:tcPr>
          <w:p w14:paraId="0DE9073C" w14:textId="77777777" w:rsidR="00537F3B" w:rsidRPr="0039084A" w:rsidRDefault="00537F3B" w:rsidP="007355D7">
            <w:pPr>
              <w:pStyle w:val="TabletextrowsAgency"/>
            </w:pPr>
            <w:r w:rsidRPr="0039084A">
              <w:t>1808</w:t>
            </w:r>
          </w:p>
        </w:tc>
        <w:tc>
          <w:tcPr>
            <w:tcW w:w="812" w:type="pct"/>
            <w:shd w:val="clear" w:color="auto" w:fill="E1E3F2"/>
          </w:tcPr>
          <w:p w14:paraId="3FC73CB9" w14:textId="77777777" w:rsidR="00537F3B" w:rsidRPr="0039084A" w:rsidRDefault="00537F3B" w:rsidP="007355D7">
            <w:pPr>
              <w:pStyle w:val="TabletextrowsAgency"/>
            </w:pPr>
          </w:p>
        </w:tc>
        <w:tc>
          <w:tcPr>
            <w:tcW w:w="2006" w:type="pct"/>
            <w:shd w:val="clear" w:color="auto" w:fill="E1E3F2"/>
          </w:tcPr>
          <w:p w14:paraId="59715A53" w14:textId="77777777" w:rsidR="00537F3B" w:rsidRPr="0039084A" w:rsidRDefault="00537F3B" w:rsidP="00537F3B">
            <w:pPr>
              <w:pStyle w:val="TabletextrowsAgency"/>
            </w:pPr>
            <w:r w:rsidRPr="0039084A">
              <w:t>Comment:</w:t>
            </w:r>
          </w:p>
          <w:p w14:paraId="6CA3092D" w14:textId="153697A5" w:rsidR="00537F3B" w:rsidRPr="0039084A" w:rsidRDefault="00537F3B" w:rsidP="00537F3B">
            <w:pPr>
              <w:pStyle w:val="TabletextrowsAgency"/>
            </w:pPr>
            <w:r w:rsidRPr="0039084A">
              <w:t>Could the regulators please give advice on how the QP is responsible: are those kind of “out-of-spec products” obliged QP-release before administration or are the doctors solely responsible and no QP-release is needed?</w:t>
            </w:r>
          </w:p>
          <w:p w14:paraId="45A3FA2F" w14:textId="77777777" w:rsidR="00537F3B" w:rsidRPr="0039084A" w:rsidRDefault="00537F3B" w:rsidP="00537F3B">
            <w:pPr>
              <w:pStyle w:val="TabletextrowsAgency"/>
            </w:pPr>
          </w:p>
          <w:p w14:paraId="3EC1BA36" w14:textId="77777777" w:rsidR="00537F3B" w:rsidRPr="0039084A" w:rsidRDefault="00537F3B" w:rsidP="00537F3B">
            <w:pPr>
              <w:pStyle w:val="TabletextrowsAgency"/>
            </w:pPr>
            <w:r w:rsidRPr="0039084A">
              <w:t>Proposed change (if any): if physician wants to administer, the product has to be always QP-released. A strong QP-Doctor-interaction is necessary to assess the risk/impact of the specific OOS-result.</w:t>
            </w:r>
          </w:p>
        </w:tc>
        <w:tc>
          <w:tcPr>
            <w:tcW w:w="1537" w:type="pct"/>
            <w:shd w:val="clear" w:color="auto" w:fill="E1E3F2"/>
          </w:tcPr>
          <w:p w14:paraId="29117AFE" w14:textId="7A012D7C" w:rsidR="00537F3B" w:rsidRPr="0039084A" w:rsidRDefault="00537F3B" w:rsidP="007355D7">
            <w:pPr>
              <w:pStyle w:val="TabletextrowsAgency"/>
            </w:pPr>
          </w:p>
        </w:tc>
      </w:tr>
      <w:tr w:rsidR="00422A94" w:rsidRPr="00B822FC" w14:paraId="7585BCB1" w14:textId="77777777" w:rsidTr="007355D7">
        <w:tc>
          <w:tcPr>
            <w:tcW w:w="645" w:type="pct"/>
            <w:shd w:val="clear" w:color="auto" w:fill="E1E3F2"/>
          </w:tcPr>
          <w:p w14:paraId="32D86718" w14:textId="77777777" w:rsidR="00422A94" w:rsidRPr="00537F3B" w:rsidRDefault="00422A94" w:rsidP="007355D7">
            <w:pPr>
              <w:pStyle w:val="TabletextrowsAgency"/>
            </w:pPr>
            <w:r w:rsidRPr="00422A94">
              <w:t>1816-1817</w:t>
            </w:r>
          </w:p>
        </w:tc>
        <w:tc>
          <w:tcPr>
            <w:tcW w:w="812" w:type="pct"/>
            <w:shd w:val="clear" w:color="auto" w:fill="E1E3F2"/>
          </w:tcPr>
          <w:p w14:paraId="32F7CDF9" w14:textId="77777777" w:rsidR="00422A94" w:rsidRDefault="00422A94" w:rsidP="007355D7">
            <w:pPr>
              <w:pStyle w:val="TabletextrowsAgency"/>
            </w:pPr>
          </w:p>
        </w:tc>
        <w:tc>
          <w:tcPr>
            <w:tcW w:w="2006" w:type="pct"/>
            <w:shd w:val="clear" w:color="auto" w:fill="E1E3F2"/>
          </w:tcPr>
          <w:p w14:paraId="67A5A385" w14:textId="77777777" w:rsidR="00422A94" w:rsidRDefault="00422A94" w:rsidP="00537F3B">
            <w:pPr>
              <w:pStyle w:val="TabletextrowsAgency"/>
            </w:pPr>
            <w:r>
              <w:t>Comment</w:t>
            </w:r>
            <w:r w:rsidRPr="00422A94">
              <w:t>:</w:t>
            </w:r>
          </w:p>
          <w:p w14:paraId="587F0BE4" w14:textId="77777777" w:rsidR="00422A94" w:rsidRDefault="00422A94" w:rsidP="00537F3B">
            <w:pPr>
              <w:pStyle w:val="TabletextrowsAgency"/>
            </w:pPr>
            <w:r w:rsidRPr="00422A94">
              <w:t>This requires an established system by the authorities so more clarification on notification process is needed.</w:t>
            </w:r>
          </w:p>
        </w:tc>
        <w:tc>
          <w:tcPr>
            <w:tcW w:w="1537" w:type="pct"/>
            <w:shd w:val="clear" w:color="auto" w:fill="E1E3F2"/>
          </w:tcPr>
          <w:p w14:paraId="1CF81D38" w14:textId="77777777" w:rsidR="00422A94" w:rsidRPr="00561BA0" w:rsidRDefault="00422A94" w:rsidP="007355D7">
            <w:pPr>
              <w:pStyle w:val="TabletextrowsAgency"/>
            </w:pPr>
          </w:p>
        </w:tc>
      </w:tr>
      <w:tr w:rsidR="00C97A06" w:rsidRPr="00B822FC" w14:paraId="4AEF8598" w14:textId="77777777" w:rsidTr="007355D7">
        <w:tc>
          <w:tcPr>
            <w:tcW w:w="645" w:type="pct"/>
            <w:shd w:val="clear" w:color="auto" w:fill="E1E3F2"/>
          </w:tcPr>
          <w:p w14:paraId="26A4B9DB" w14:textId="77777777" w:rsidR="00C97A06" w:rsidRDefault="00034EB9" w:rsidP="007355D7">
            <w:pPr>
              <w:pStyle w:val="TabletextrowsAgency"/>
            </w:pPr>
            <w:r>
              <w:t>1817</w:t>
            </w:r>
          </w:p>
        </w:tc>
        <w:tc>
          <w:tcPr>
            <w:tcW w:w="812" w:type="pct"/>
            <w:shd w:val="clear" w:color="auto" w:fill="E1E3F2"/>
          </w:tcPr>
          <w:p w14:paraId="187ABB3C" w14:textId="77777777" w:rsidR="00C97A06" w:rsidRDefault="00C97A06" w:rsidP="007355D7">
            <w:pPr>
              <w:pStyle w:val="TabletextrowsAgency"/>
            </w:pPr>
          </w:p>
        </w:tc>
        <w:tc>
          <w:tcPr>
            <w:tcW w:w="2006" w:type="pct"/>
            <w:shd w:val="clear" w:color="auto" w:fill="E1E3F2"/>
          </w:tcPr>
          <w:p w14:paraId="376DBADF" w14:textId="77777777" w:rsidR="00C97A06" w:rsidRDefault="00C97A06" w:rsidP="007355D7">
            <w:pPr>
              <w:pStyle w:val="TabletextrowsAgency"/>
            </w:pPr>
            <w:r>
              <w:t>Comment</w:t>
            </w:r>
            <w:r w:rsidRPr="00B822FC">
              <w:t>:</w:t>
            </w:r>
          </w:p>
          <w:p w14:paraId="07A6E132" w14:textId="77777777" w:rsidR="00034EB9" w:rsidRDefault="00034EB9" w:rsidP="007355D7">
            <w:pPr>
              <w:pStyle w:val="TabletextrowsAgency"/>
            </w:pPr>
            <w:r>
              <w:t xml:space="preserve">A time point for such notification should be mentioned (e.g. </w:t>
            </w:r>
            <w:r w:rsidR="001B3937">
              <w:t>“</w:t>
            </w:r>
            <w:r>
              <w:t>in front of administration</w:t>
            </w:r>
            <w:r w:rsidR="001B3937">
              <w:t xml:space="preserve"> of the drug product”</w:t>
            </w:r>
            <w:r>
              <w:t>).</w:t>
            </w:r>
          </w:p>
          <w:p w14:paraId="2819E906" w14:textId="77777777" w:rsidR="00C97A06" w:rsidRDefault="00C97A06" w:rsidP="007355D7">
            <w:pPr>
              <w:pStyle w:val="TabletextrowsAgency"/>
            </w:pPr>
            <w:r w:rsidRPr="00B822FC">
              <w:t>Proposed change (if any):</w:t>
            </w:r>
          </w:p>
          <w:p w14:paraId="050D44F4" w14:textId="77777777" w:rsidR="00C97A06" w:rsidRDefault="00034EB9" w:rsidP="00034EB9">
            <w:pPr>
              <w:pStyle w:val="TabletextrowsAgency"/>
            </w:pPr>
            <w:r>
              <w:t>Clarification of the time point.</w:t>
            </w:r>
          </w:p>
        </w:tc>
        <w:tc>
          <w:tcPr>
            <w:tcW w:w="1537" w:type="pct"/>
            <w:shd w:val="clear" w:color="auto" w:fill="E1E3F2"/>
          </w:tcPr>
          <w:p w14:paraId="691AF9D6" w14:textId="77777777" w:rsidR="00C97A06" w:rsidRPr="00561BA0" w:rsidRDefault="00C97A06" w:rsidP="007355D7">
            <w:pPr>
              <w:pStyle w:val="TabletextrowsAgency"/>
            </w:pPr>
          </w:p>
        </w:tc>
      </w:tr>
      <w:tr w:rsidR="00A97AAF" w:rsidRPr="00B822FC" w14:paraId="5E20C4A4" w14:textId="77777777" w:rsidTr="00A97AAF">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61E505E9" w14:textId="77777777" w:rsidR="00A97AAF" w:rsidRDefault="00A97AAF" w:rsidP="00187FED">
            <w:pPr>
              <w:pStyle w:val="TabletextrowsAgency"/>
            </w:pPr>
            <w:r>
              <w:t>1882-1888</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2A20B8DA" w14:textId="77777777" w:rsidR="00A97AAF" w:rsidRDefault="00A97AAF" w:rsidP="00187FED">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44604AAD" w14:textId="77777777" w:rsidR="00A97AAF" w:rsidRDefault="00A97AAF" w:rsidP="00187FED">
            <w:pPr>
              <w:pStyle w:val="TabletextrowsAgency"/>
            </w:pPr>
            <w:r>
              <w:t>Comment: Retaining Reference samples of critical raw materials should be recommended but not considered mandatory (short shelf life, minute quantities, considerable costs – to name just a few potential reasons).</w:t>
            </w:r>
          </w:p>
          <w:p w14:paraId="3D1DB3A0" w14:textId="77777777" w:rsidR="00A97AAF" w:rsidRDefault="00A97AAF" w:rsidP="00187FED">
            <w:pPr>
              <w:pStyle w:val="TabletextrowsAgency"/>
            </w:pPr>
            <w:r>
              <w:t>Proposed change</w:t>
            </w:r>
            <w:r w:rsidRPr="00B822FC">
              <w:t>:</w:t>
            </w:r>
          </w:p>
          <w:p w14:paraId="3780E6BB" w14:textId="77777777" w:rsidR="00A97AAF" w:rsidRDefault="00A97AAF" w:rsidP="00187FED">
            <w:pPr>
              <w:pStyle w:val="TabletextrowsAgency"/>
            </w:pPr>
            <w:r w:rsidRPr="007C0B96">
              <w:t xml:space="preserve">Reference samples of critical raw materials (e.g. cytokines, growth factors) are </w:t>
            </w:r>
            <w:r w:rsidRPr="00FB404F">
              <w:rPr>
                <w:strike/>
                <w:color w:val="C00000"/>
              </w:rPr>
              <w:t xml:space="preserve">important </w:t>
            </w:r>
            <w:r w:rsidRPr="00187FED">
              <w:rPr>
                <w:color w:val="4F81BD"/>
              </w:rPr>
              <w:t>recommended</w:t>
            </w:r>
            <w:r w:rsidRPr="007C0B96">
              <w:t xml:space="preserve"> to investigate possible quality problems with the product.</w:t>
            </w:r>
            <w:r>
              <w:t xml:space="preserve"> </w:t>
            </w:r>
            <w:r w:rsidRPr="007C0B96">
              <w:t xml:space="preserve">The assessment whether </w:t>
            </w:r>
            <w:r w:rsidRPr="00187FED">
              <w:rPr>
                <w:color w:val="4F81BD"/>
              </w:rPr>
              <w:t>to retain</w:t>
            </w:r>
            <w:r>
              <w:t xml:space="preserve"> </w:t>
            </w:r>
            <w:r w:rsidRPr="007C0B96">
              <w:t>a specific raw material</w:t>
            </w:r>
            <w:r w:rsidRPr="00FB404F">
              <w:rPr>
                <w:strike/>
                <w:color w:val="C00000"/>
              </w:rPr>
              <w:t>s</w:t>
            </w:r>
            <w:r w:rsidRPr="007C0B96">
              <w:t xml:space="preserve"> is </w:t>
            </w:r>
            <w:r w:rsidRPr="00FB404F">
              <w:rPr>
                <w:strike/>
                <w:color w:val="C00000"/>
              </w:rPr>
              <w:t>critical</w:t>
            </w:r>
            <w:r w:rsidRPr="007C0B96">
              <w:t xml:space="preserve"> </w:t>
            </w:r>
            <w:r w:rsidRPr="00187FED">
              <w:rPr>
                <w:color w:val="4F81BD"/>
              </w:rPr>
              <w:t>beneficial</w:t>
            </w:r>
            <w:r w:rsidRPr="00A97AAF">
              <w:t xml:space="preserve"> </w:t>
            </w:r>
            <w:r w:rsidRPr="00187FED">
              <w:rPr>
                <w:color w:val="4F81BD"/>
              </w:rPr>
              <w:t>for root cause analysis</w:t>
            </w:r>
            <w:r>
              <w:t xml:space="preserve"> </w:t>
            </w:r>
            <w:r w:rsidRPr="007C0B96">
              <w:t>should be done by the manufacturer having regard to the specific risks and possible mitigation measures (e.g. increased QC controls).</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67205319" w14:textId="77777777" w:rsidR="00A97AAF" w:rsidRPr="00561BA0" w:rsidRDefault="00A97AAF" w:rsidP="00187FED">
            <w:pPr>
              <w:pStyle w:val="TabletextrowsAgency"/>
            </w:pPr>
          </w:p>
        </w:tc>
      </w:tr>
      <w:tr w:rsidR="000B69A9" w:rsidRPr="00B822FC" w14:paraId="0E7B251D" w14:textId="77777777" w:rsidTr="0067610E">
        <w:tc>
          <w:tcPr>
            <w:tcW w:w="645" w:type="pct"/>
            <w:shd w:val="clear" w:color="auto" w:fill="E1E3F2"/>
          </w:tcPr>
          <w:p w14:paraId="2A24AA43" w14:textId="77777777" w:rsidR="000B69A9" w:rsidRDefault="000B69A9">
            <w:pPr>
              <w:pStyle w:val="TabletextrowsAgency"/>
            </w:pPr>
            <w:r>
              <w:t>1887-1888</w:t>
            </w:r>
          </w:p>
        </w:tc>
        <w:tc>
          <w:tcPr>
            <w:tcW w:w="812" w:type="pct"/>
            <w:shd w:val="clear" w:color="auto" w:fill="E1E3F2"/>
          </w:tcPr>
          <w:p w14:paraId="5BA48848" w14:textId="77777777" w:rsidR="000B69A9" w:rsidRDefault="000B69A9">
            <w:pPr>
              <w:pStyle w:val="TabletextrowsAgency"/>
            </w:pPr>
          </w:p>
        </w:tc>
        <w:tc>
          <w:tcPr>
            <w:tcW w:w="2006" w:type="pct"/>
            <w:shd w:val="clear" w:color="auto" w:fill="E1E3F2"/>
          </w:tcPr>
          <w:p w14:paraId="520D17FC" w14:textId="77777777" w:rsidR="000B69A9" w:rsidRDefault="000B69A9" w:rsidP="007355D7">
            <w:pPr>
              <w:pStyle w:val="TabletextrowsAgency"/>
            </w:pPr>
            <w:r>
              <w:t>Comment</w:t>
            </w:r>
            <w:r w:rsidRPr="00B822FC">
              <w:t>:</w:t>
            </w:r>
          </w:p>
          <w:p w14:paraId="5B5DF29D" w14:textId="52DC3CFD" w:rsidR="000B69A9" w:rsidRDefault="001B3937" w:rsidP="007355D7">
            <w:pPr>
              <w:pStyle w:val="TabletextrowsAgency"/>
            </w:pPr>
            <w:r>
              <w:t>The wording …</w:t>
            </w:r>
            <w:r w:rsidR="000B69A9">
              <w:t>“retained for two years after the batch release or one year after expiry date of the relevant batch, whichever is the longest</w:t>
            </w:r>
            <w:r>
              <w:t>.</w:t>
            </w:r>
            <w:r w:rsidR="000B69A9">
              <w:t>” is difficult to realize due to the fact that in autologous setting raw materials are used very often for a bigger amount of individual patient batches over a longer period of time. It’s hard to track</w:t>
            </w:r>
            <w:r w:rsidR="0030359C">
              <w:t xml:space="preserve"> time-wise</w:t>
            </w:r>
            <w:r w:rsidR="000B69A9">
              <w:t>.</w:t>
            </w:r>
            <w:r w:rsidR="00D845BC">
              <w:t xml:space="preserve"> In addition to that the raw materials are often expired in front of the expiry date of the manufactured ATMP batches – what kind of meaningful analyses can be realistically done from an expired raw material?</w:t>
            </w:r>
          </w:p>
          <w:p w14:paraId="3E316998" w14:textId="77777777" w:rsidR="000B69A9" w:rsidRDefault="000B69A9" w:rsidP="007355D7">
            <w:pPr>
              <w:pStyle w:val="TabletextrowsAgency"/>
            </w:pPr>
            <w:r w:rsidRPr="00B822FC">
              <w:t>Proposed change (if any):</w:t>
            </w:r>
          </w:p>
          <w:p w14:paraId="08ACD007" w14:textId="77777777" w:rsidR="000B69A9" w:rsidRDefault="00D845BC" w:rsidP="007355D7">
            <w:pPr>
              <w:pStyle w:val="TabletextrowsAgency"/>
            </w:pPr>
            <w:r>
              <w:t>Defining a time point that is related to the expiry date of the raw material itself?</w:t>
            </w:r>
          </w:p>
        </w:tc>
        <w:tc>
          <w:tcPr>
            <w:tcW w:w="1537" w:type="pct"/>
            <w:shd w:val="clear" w:color="auto" w:fill="E1E3F2"/>
          </w:tcPr>
          <w:p w14:paraId="68B54DEB" w14:textId="77777777" w:rsidR="000B69A9" w:rsidRPr="00561BA0" w:rsidRDefault="000B69A9">
            <w:pPr>
              <w:pStyle w:val="TabletextrowsAgency"/>
            </w:pPr>
          </w:p>
        </w:tc>
      </w:tr>
      <w:tr w:rsidR="000B69A9" w:rsidRPr="00B822FC" w14:paraId="1B1601E2" w14:textId="77777777" w:rsidTr="0067610E">
        <w:tc>
          <w:tcPr>
            <w:tcW w:w="645" w:type="pct"/>
            <w:shd w:val="clear" w:color="auto" w:fill="E1E3F2"/>
          </w:tcPr>
          <w:p w14:paraId="254B7CDD" w14:textId="77777777" w:rsidR="000B69A9" w:rsidRDefault="000B69A9">
            <w:pPr>
              <w:pStyle w:val="TabletextrowsAgency"/>
            </w:pPr>
            <w:r>
              <w:t>1891</w:t>
            </w:r>
          </w:p>
        </w:tc>
        <w:tc>
          <w:tcPr>
            <w:tcW w:w="812" w:type="pct"/>
            <w:shd w:val="clear" w:color="auto" w:fill="E1E3F2"/>
          </w:tcPr>
          <w:p w14:paraId="5C01EE05" w14:textId="77777777" w:rsidR="000B69A9" w:rsidRDefault="000B69A9">
            <w:pPr>
              <w:pStyle w:val="TabletextrowsAgency"/>
            </w:pPr>
          </w:p>
        </w:tc>
        <w:tc>
          <w:tcPr>
            <w:tcW w:w="2006" w:type="pct"/>
            <w:shd w:val="clear" w:color="auto" w:fill="E1E3F2"/>
          </w:tcPr>
          <w:p w14:paraId="51151772" w14:textId="77777777" w:rsidR="000B69A9" w:rsidRDefault="000B69A9" w:rsidP="007355D7">
            <w:pPr>
              <w:pStyle w:val="TabletextrowsAgency"/>
            </w:pPr>
            <w:r>
              <w:t>Comment</w:t>
            </w:r>
            <w:r w:rsidRPr="00B822FC">
              <w:t>:</w:t>
            </w:r>
          </w:p>
          <w:p w14:paraId="31316441" w14:textId="77777777" w:rsidR="000B69A9" w:rsidRDefault="000B69A9" w:rsidP="007355D7">
            <w:pPr>
              <w:pStyle w:val="TabletextrowsAgency"/>
            </w:pPr>
            <w:r>
              <w:t>It’s a reference sample and not a retention sample.</w:t>
            </w:r>
          </w:p>
          <w:p w14:paraId="4EDFE469" w14:textId="77777777" w:rsidR="000B69A9" w:rsidRDefault="000B69A9" w:rsidP="007355D7">
            <w:pPr>
              <w:pStyle w:val="TabletextrowsAgency"/>
            </w:pPr>
            <w:r w:rsidRPr="00B822FC">
              <w:t>Proposed change (if any):</w:t>
            </w:r>
          </w:p>
          <w:p w14:paraId="7E4A5EF7" w14:textId="77777777" w:rsidR="000B69A9" w:rsidRDefault="000B69A9" w:rsidP="007355D7">
            <w:pPr>
              <w:pStyle w:val="TabletextrowsAgency"/>
            </w:pPr>
            <w:r>
              <w:t>Change wording.</w:t>
            </w:r>
          </w:p>
        </w:tc>
        <w:tc>
          <w:tcPr>
            <w:tcW w:w="1537" w:type="pct"/>
            <w:shd w:val="clear" w:color="auto" w:fill="E1E3F2"/>
          </w:tcPr>
          <w:p w14:paraId="062A2D3C" w14:textId="77777777" w:rsidR="000B69A9" w:rsidRPr="00561BA0" w:rsidRDefault="000B69A9">
            <w:pPr>
              <w:pStyle w:val="TabletextrowsAgency"/>
            </w:pPr>
          </w:p>
        </w:tc>
      </w:tr>
      <w:tr w:rsidR="000B69A9" w:rsidRPr="00B822FC" w14:paraId="7343C117" w14:textId="77777777" w:rsidTr="0067610E">
        <w:tc>
          <w:tcPr>
            <w:tcW w:w="645" w:type="pct"/>
            <w:shd w:val="clear" w:color="auto" w:fill="E1E3F2"/>
          </w:tcPr>
          <w:p w14:paraId="3652FF96" w14:textId="77777777" w:rsidR="000B69A9" w:rsidRDefault="000B69A9">
            <w:pPr>
              <w:pStyle w:val="TabletextrowsAgency"/>
            </w:pPr>
            <w:r>
              <w:t>1900</w:t>
            </w:r>
          </w:p>
        </w:tc>
        <w:tc>
          <w:tcPr>
            <w:tcW w:w="812" w:type="pct"/>
            <w:shd w:val="clear" w:color="auto" w:fill="E1E3F2"/>
          </w:tcPr>
          <w:p w14:paraId="2923F815" w14:textId="77777777" w:rsidR="000B69A9" w:rsidRDefault="000B69A9">
            <w:pPr>
              <w:pStyle w:val="TabletextrowsAgency"/>
            </w:pPr>
          </w:p>
        </w:tc>
        <w:tc>
          <w:tcPr>
            <w:tcW w:w="2006" w:type="pct"/>
            <w:shd w:val="clear" w:color="auto" w:fill="E1E3F2"/>
          </w:tcPr>
          <w:p w14:paraId="63F10841" w14:textId="77777777" w:rsidR="000B69A9" w:rsidRDefault="000B69A9" w:rsidP="000B69A9">
            <w:pPr>
              <w:pStyle w:val="TabletextrowsAgency"/>
            </w:pPr>
            <w:r>
              <w:t>Comment</w:t>
            </w:r>
            <w:r w:rsidRPr="00B822FC">
              <w:t>:</w:t>
            </w:r>
          </w:p>
          <w:p w14:paraId="30D6A285" w14:textId="77777777" w:rsidR="000B69A9" w:rsidRDefault="000B69A9" w:rsidP="000B69A9">
            <w:pPr>
              <w:pStyle w:val="TabletextrowsAgency"/>
            </w:pPr>
            <w:r>
              <w:t>It’s a reference sample and not a retention sample.</w:t>
            </w:r>
          </w:p>
          <w:p w14:paraId="35259A4A" w14:textId="77777777" w:rsidR="000B69A9" w:rsidRDefault="000B69A9" w:rsidP="000B69A9">
            <w:pPr>
              <w:pStyle w:val="TabletextrowsAgency"/>
            </w:pPr>
            <w:r w:rsidRPr="00B822FC">
              <w:t>Proposed change (if any):</w:t>
            </w:r>
          </w:p>
          <w:p w14:paraId="7E9CD7C7" w14:textId="77777777" w:rsidR="000B69A9" w:rsidRDefault="000B69A9" w:rsidP="000B69A9">
            <w:pPr>
              <w:pStyle w:val="TabletextrowsAgency"/>
            </w:pPr>
            <w:r>
              <w:t>Change wording.</w:t>
            </w:r>
          </w:p>
        </w:tc>
        <w:tc>
          <w:tcPr>
            <w:tcW w:w="1537" w:type="pct"/>
            <w:shd w:val="clear" w:color="auto" w:fill="E1E3F2"/>
          </w:tcPr>
          <w:p w14:paraId="620EF7C2" w14:textId="77777777" w:rsidR="000B69A9" w:rsidRPr="00561BA0" w:rsidRDefault="000B69A9">
            <w:pPr>
              <w:pStyle w:val="TabletextrowsAgency"/>
            </w:pPr>
          </w:p>
        </w:tc>
      </w:tr>
      <w:tr w:rsidR="00A97AAF" w:rsidRPr="00B822FC" w14:paraId="5BEDDF36" w14:textId="77777777" w:rsidTr="00A97AAF">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0953739D" w14:textId="77777777" w:rsidR="00A97AAF" w:rsidRDefault="00A97AAF" w:rsidP="00187FED">
            <w:pPr>
              <w:pStyle w:val="TabletextrowsAgency"/>
            </w:pPr>
            <w:r>
              <w:t>Lines 1923-1924</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61870302" w14:textId="77777777" w:rsidR="00A97AAF" w:rsidRDefault="00A97AAF" w:rsidP="00187FED">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138B4DAE" w14:textId="77777777" w:rsidR="00A97AAF" w:rsidRDefault="00A97AAF" w:rsidP="00187FED">
            <w:pPr>
              <w:pStyle w:val="TabletextrowsAgency"/>
            </w:pPr>
            <w:r>
              <w:t>Comment: In our opinion, a cryopreserved sample is not adequate for sterility controls</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622FB98A" w14:textId="77777777" w:rsidR="00A97AAF" w:rsidRPr="00561BA0" w:rsidRDefault="00A97AAF" w:rsidP="00187FED">
            <w:pPr>
              <w:pStyle w:val="TabletextrowsAgency"/>
            </w:pPr>
          </w:p>
        </w:tc>
      </w:tr>
      <w:tr w:rsidR="00A97AAF" w:rsidRPr="00B822FC" w14:paraId="20FCD327" w14:textId="77777777" w:rsidTr="00A97AAF">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4F991307" w14:textId="77777777" w:rsidR="00A97AAF" w:rsidRDefault="00A97AAF" w:rsidP="00187FED">
            <w:pPr>
              <w:pStyle w:val="TabletextrowsAgency"/>
            </w:pPr>
            <w:r>
              <w:t>Line 1937</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3E7BC969" w14:textId="77777777" w:rsidR="00A97AAF" w:rsidRDefault="00A97AAF" w:rsidP="00187FED">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2DEAA121" w14:textId="77777777" w:rsidR="00A97AAF" w:rsidRDefault="00A97AAF" w:rsidP="00187FED">
            <w:pPr>
              <w:pStyle w:val="TabletextrowsAgency"/>
            </w:pPr>
            <w:r>
              <w:t>Proposed change</w:t>
            </w:r>
            <w:r w:rsidRPr="00B822FC">
              <w:t>:</w:t>
            </w:r>
          </w:p>
          <w:p w14:paraId="1D343C9E" w14:textId="77777777" w:rsidR="00A97AAF" w:rsidRDefault="00A97AAF" w:rsidP="00187FED">
            <w:pPr>
              <w:pStyle w:val="TabletextrowsAgency"/>
            </w:pPr>
            <w:r w:rsidRPr="00FB404F">
              <w:rPr>
                <w:strike/>
                <w:color w:val="C00000"/>
              </w:rPr>
              <w:t>critically</w:t>
            </w:r>
            <w:r>
              <w:t xml:space="preserve"> </w:t>
            </w:r>
            <w:r w:rsidRPr="00187FED">
              <w:rPr>
                <w:color w:val="4F81BD"/>
              </w:rPr>
              <w:t>criticality</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780633C4" w14:textId="77777777" w:rsidR="00A97AAF" w:rsidRPr="00561BA0" w:rsidRDefault="00A97AAF" w:rsidP="00187FED">
            <w:pPr>
              <w:pStyle w:val="TabletextrowsAgency"/>
            </w:pPr>
          </w:p>
        </w:tc>
      </w:tr>
      <w:tr w:rsidR="000B69A9" w:rsidRPr="00B822FC" w14:paraId="50CA949A" w14:textId="77777777" w:rsidTr="0067610E">
        <w:tc>
          <w:tcPr>
            <w:tcW w:w="645" w:type="pct"/>
            <w:shd w:val="clear" w:color="auto" w:fill="E1E3F2"/>
          </w:tcPr>
          <w:p w14:paraId="1E3D36D8" w14:textId="77777777" w:rsidR="000B69A9" w:rsidRDefault="000B69A9">
            <w:pPr>
              <w:pStyle w:val="TabletextrowsAgency"/>
            </w:pPr>
            <w:r>
              <w:t>1971</w:t>
            </w:r>
          </w:p>
        </w:tc>
        <w:tc>
          <w:tcPr>
            <w:tcW w:w="812" w:type="pct"/>
            <w:shd w:val="clear" w:color="auto" w:fill="E1E3F2"/>
          </w:tcPr>
          <w:p w14:paraId="2D6DAE5F" w14:textId="77777777" w:rsidR="000B69A9" w:rsidRDefault="000B69A9">
            <w:pPr>
              <w:pStyle w:val="TabletextrowsAgency"/>
            </w:pPr>
          </w:p>
        </w:tc>
        <w:tc>
          <w:tcPr>
            <w:tcW w:w="2006" w:type="pct"/>
            <w:shd w:val="clear" w:color="auto" w:fill="E1E3F2"/>
          </w:tcPr>
          <w:p w14:paraId="63C74B4D" w14:textId="77777777" w:rsidR="005338C3" w:rsidRDefault="005338C3" w:rsidP="005338C3">
            <w:pPr>
              <w:pStyle w:val="TabletextrowsAgency"/>
            </w:pPr>
            <w:r>
              <w:t>Comment</w:t>
            </w:r>
            <w:r w:rsidRPr="00B822FC">
              <w:t>:</w:t>
            </w:r>
          </w:p>
          <w:p w14:paraId="6FA0AC2D" w14:textId="77777777" w:rsidR="005338C3" w:rsidRDefault="005338C3" w:rsidP="005338C3">
            <w:pPr>
              <w:pStyle w:val="TabletextrowsAgency"/>
            </w:pPr>
            <w:r>
              <w:t>Not in all cases it will be possible to use patient derived batches for stability programs, e.g. in case of small batch size in the autologous setting. Therefore the potential use of material derived from healthy volunteers should be mentioned.</w:t>
            </w:r>
          </w:p>
          <w:p w14:paraId="01FA2713" w14:textId="77777777" w:rsidR="005338C3" w:rsidRDefault="005338C3" w:rsidP="005338C3">
            <w:pPr>
              <w:pStyle w:val="TabletextrowsAgency"/>
            </w:pPr>
            <w:r w:rsidRPr="00B822FC">
              <w:t>Proposed change (if any):</w:t>
            </w:r>
          </w:p>
          <w:p w14:paraId="74B9A697" w14:textId="77777777" w:rsidR="000B69A9" w:rsidRDefault="005338C3" w:rsidP="005338C3">
            <w:pPr>
              <w:pStyle w:val="TabletextrowsAgency"/>
            </w:pPr>
            <w:r>
              <w:t xml:space="preserve">Inclusion of a sentence that mentions the possibility to use starting material from healthy volunteers in special cases (e.g. small batch size). </w:t>
            </w:r>
          </w:p>
        </w:tc>
        <w:tc>
          <w:tcPr>
            <w:tcW w:w="1537" w:type="pct"/>
            <w:shd w:val="clear" w:color="auto" w:fill="E1E3F2"/>
          </w:tcPr>
          <w:p w14:paraId="1138F2E2" w14:textId="77777777" w:rsidR="000B69A9" w:rsidRPr="00561BA0" w:rsidRDefault="000B69A9">
            <w:pPr>
              <w:pStyle w:val="TabletextrowsAgency"/>
            </w:pPr>
          </w:p>
        </w:tc>
      </w:tr>
      <w:tr w:rsidR="00537F3B" w:rsidRPr="00B822FC" w14:paraId="414F2CFA" w14:textId="77777777" w:rsidTr="00537F3B">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06B3C33F" w14:textId="77777777" w:rsidR="00537F3B" w:rsidRDefault="00537F3B" w:rsidP="003976B1">
            <w:pPr>
              <w:pStyle w:val="TabletextrowsAgency"/>
            </w:pPr>
            <w:r>
              <w:t>1992</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3955FF8F" w14:textId="77777777" w:rsidR="00537F3B" w:rsidRDefault="00537F3B" w:rsidP="003976B1">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3339E937" w14:textId="77777777" w:rsidR="00537F3B" w:rsidRDefault="00537F3B" w:rsidP="003976B1">
            <w:pPr>
              <w:pStyle w:val="TabletextrowsAgency"/>
            </w:pPr>
            <w:r>
              <w:t>Comment</w:t>
            </w:r>
            <w:r w:rsidRPr="00B822FC">
              <w:t>:</w:t>
            </w:r>
          </w:p>
          <w:p w14:paraId="4FB4BBC5" w14:textId="77777777" w:rsidR="00537F3B" w:rsidRDefault="00537F3B" w:rsidP="003976B1">
            <w:pPr>
              <w:pStyle w:val="TabletextrowsAgency"/>
            </w:pPr>
            <w:r>
              <w:t>The wording “routinely” should be included in front of “outsourcing”.</w:t>
            </w:r>
          </w:p>
          <w:p w14:paraId="639457C5" w14:textId="77777777" w:rsidR="00537F3B" w:rsidRDefault="00537F3B" w:rsidP="003976B1">
            <w:pPr>
              <w:pStyle w:val="TabletextrowsAgency"/>
            </w:pPr>
            <w:r w:rsidRPr="00B822FC">
              <w:t>Proposed change (if any):</w:t>
            </w:r>
          </w:p>
          <w:p w14:paraId="4CF80D49" w14:textId="77777777" w:rsidR="00537F3B" w:rsidRDefault="00537F3B" w:rsidP="003976B1">
            <w:pPr>
              <w:pStyle w:val="TabletextrowsAgency"/>
            </w:pPr>
            <w:r>
              <w:t>Changing into “Activities that are routinely outsourced….”.</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632298DC" w14:textId="5411B69A" w:rsidR="00537F3B" w:rsidRPr="00561BA0" w:rsidRDefault="00537F3B" w:rsidP="003976B1">
            <w:pPr>
              <w:pStyle w:val="TabletextrowsAgency"/>
            </w:pPr>
          </w:p>
        </w:tc>
      </w:tr>
      <w:tr w:rsidR="00A97AAF" w:rsidRPr="00B822FC" w14:paraId="32E134E2" w14:textId="77777777" w:rsidTr="00A97AAF">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157D52BB" w14:textId="77777777" w:rsidR="00A97AAF" w:rsidRDefault="00A97AAF" w:rsidP="00187FED">
            <w:pPr>
              <w:pStyle w:val="TabletextrowsAgency"/>
            </w:pPr>
            <w:r>
              <w:t>2018-2019</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03DB9698" w14:textId="77777777" w:rsidR="00A97AAF" w:rsidRDefault="00A97AAF" w:rsidP="00187FED">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1A2D03B6" w14:textId="77777777" w:rsidR="00A97AAF" w:rsidRDefault="00A97AAF" w:rsidP="00187FED">
            <w:pPr>
              <w:pStyle w:val="TabletextrowsAgency"/>
            </w:pPr>
            <w:r>
              <w:t>Comment: “… reference samples should be kept by, or made available to, the contract giver”</w:t>
            </w:r>
          </w:p>
          <w:p w14:paraId="4BF42353" w14:textId="77777777" w:rsidR="00A97AAF" w:rsidRDefault="00A97AAF" w:rsidP="00187FED">
            <w:pPr>
              <w:pStyle w:val="TabletextrowsAgency"/>
            </w:pPr>
            <w:r>
              <w:t>This is not realistic as the contract acceptor might be a licensed establishment and needs to keep the samples within their premises. Same to original documentation.</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6FFC088E" w14:textId="77777777" w:rsidR="00A97AAF" w:rsidRPr="00561BA0" w:rsidRDefault="00A97AAF" w:rsidP="00187FED">
            <w:pPr>
              <w:pStyle w:val="TabletextrowsAgency"/>
            </w:pPr>
          </w:p>
        </w:tc>
      </w:tr>
      <w:tr w:rsidR="00422A94" w:rsidRPr="00B822FC" w14:paraId="4EC96A24" w14:textId="77777777" w:rsidTr="00537F3B">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04B6A157" w14:textId="77777777" w:rsidR="00422A94" w:rsidRDefault="00422A94" w:rsidP="003976B1">
            <w:pPr>
              <w:pStyle w:val="TabletextrowsAgency"/>
            </w:pPr>
            <w:r w:rsidRPr="00422A94">
              <w:t>2081</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6D5834E9" w14:textId="77777777" w:rsidR="00422A94" w:rsidRDefault="00422A94" w:rsidP="003976B1">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6BF2B239" w14:textId="77777777" w:rsidR="00422A94" w:rsidRDefault="00422A94" w:rsidP="003976B1">
            <w:pPr>
              <w:pStyle w:val="TabletextrowsAgency"/>
            </w:pPr>
            <w:r>
              <w:t>Comment:</w:t>
            </w:r>
          </w:p>
          <w:p w14:paraId="58AC1DFB" w14:textId="77777777" w:rsidR="00422A94" w:rsidRDefault="00422A94" w:rsidP="00422A94">
            <w:pPr>
              <w:pStyle w:val="TabletextrowsAgency"/>
            </w:pPr>
            <w:r>
              <w:t>W</w:t>
            </w:r>
            <w:r w:rsidRPr="00422A94">
              <w:t xml:space="preserve">hat is a substantial manipulation? </w:t>
            </w:r>
            <w:r>
              <w:t>Regulation (EC)</w:t>
            </w:r>
            <w:r w:rsidRPr="00422A94">
              <w:t xml:space="preserve"> 1394</w:t>
            </w:r>
            <w:r>
              <w:t>/2007</w:t>
            </w:r>
            <w:r w:rsidRPr="00422A94">
              <w:t xml:space="preserve"> Annex 1 defines only non-substantial manipulations. At least there should be a cross-reference to Regulation (EC) 1394/2007</w:t>
            </w:r>
            <w:r>
              <w:t xml:space="preserve"> </w:t>
            </w:r>
            <w:r w:rsidRPr="00422A94">
              <w:t>regarding manipulation definitions.</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5E0707F7" w14:textId="77777777" w:rsidR="00422A94" w:rsidRPr="00561BA0" w:rsidRDefault="00422A94" w:rsidP="003976B1">
            <w:pPr>
              <w:pStyle w:val="TabletextrowsAgency"/>
            </w:pPr>
          </w:p>
        </w:tc>
      </w:tr>
      <w:tr w:rsidR="00A97AAF" w:rsidRPr="00B822FC" w14:paraId="4C3C7934" w14:textId="77777777" w:rsidTr="00A97AAF">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1FF9D7FF" w14:textId="77777777" w:rsidR="00A97AAF" w:rsidRDefault="00A97AAF" w:rsidP="00187FED">
            <w:pPr>
              <w:pStyle w:val="TabletextrowsAgency"/>
            </w:pPr>
            <w:r>
              <w:t>2089</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4EE02136" w14:textId="77777777" w:rsidR="00A97AAF" w:rsidRDefault="00A97AAF" w:rsidP="00187FED">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0766EAB7" w14:textId="623B3E34" w:rsidR="00A97AAF" w:rsidRDefault="00A97AAF" w:rsidP="0039084A">
            <w:pPr>
              <w:pStyle w:val="TabletextrowsAgency"/>
            </w:pPr>
            <w:r w:rsidRPr="00A97AAF">
              <w:t>Cell recovery after cryo-storage ?</w:t>
            </w:r>
            <w:r w:rsidR="0039084A">
              <w:t>?</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124716A5" w14:textId="77777777" w:rsidR="00A97AAF" w:rsidRPr="00561BA0" w:rsidRDefault="00A97AAF" w:rsidP="00187FED">
            <w:pPr>
              <w:pStyle w:val="TabletextrowsAgency"/>
            </w:pPr>
          </w:p>
        </w:tc>
      </w:tr>
      <w:tr w:rsidR="00537F3B" w:rsidRPr="00B822FC" w14:paraId="2DF115B9" w14:textId="77777777" w:rsidTr="00537F3B">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4702A1BF" w14:textId="77777777" w:rsidR="00537F3B" w:rsidRDefault="00537F3B" w:rsidP="003976B1">
            <w:pPr>
              <w:pStyle w:val="TabletextrowsAgency"/>
            </w:pPr>
            <w:r>
              <w:t>2102</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4B03FEC4" w14:textId="77777777" w:rsidR="00537F3B" w:rsidRDefault="00537F3B" w:rsidP="003976B1">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735191FF" w14:textId="77777777" w:rsidR="00537F3B" w:rsidRDefault="00537F3B" w:rsidP="003976B1">
            <w:pPr>
              <w:pStyle w:val="TabletextrowsAgency"/>
            </w:pPr>
            <w:r>
              <w:t>Comment</w:t>
            </w:r>
            <w:r w:rsidRPr="00B822FC">
              <w:t>:</w:t>
            </w:r>
          </w:p>
          <w:p w14:paraId="1B5AD9F3" w14:textId="77777777" w:rsidR="00537F3B" w:rsidRDefault="00537F3B" w:rsidP="003976B1">
            <w:pPr>
              <w:pStyle w:val="TabletextrowsAgency"/>
            </w:pPr>
            <w:r>
              <w:t>The special situation during clinical trials should be evaluated in regard to 16.2. In clinical trials a lot of ATIMPs will be manufactured by CMO’s for a sponsor independent from the CMO. Typically all issues within the clinic are in the responsibility of the sponsor and a CMO has no relationships with the clinic. This should be reflected.</w:t>
            </w:r>
          </w:p>
          <w:p w14:paraId="076811ED" w14:textId="77777777" w:rsidR="00537F3B" w:rsidRDefault="00537F3B" w:rsidP="003976B1">
            <w:pPr>
              <w:pStyle w:val="TabletextrowsAgency"/>
            </w:pPr>
            <w:r w:rsidRPr="00B822FC">
              <w:t>Proposed change (if any):</w:t>
            </w:r>
          </w:p>
          <w:p w14:paraId="3E8471FC" w14:textId="77777777" w:rsidR="00537F3B" w:rsidRDefault="00537F3B" w:rsidP="003976B1">
            <w:pPr>
              <w:pStyle w:val="TabletextrowsAgency"/>
            </w:pPr>
            <w:r>
              <w:t>Introduction of the sponsors’ role in regard to the responsibility for issues performed in the clinic.</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7A15B5EC" w14:textId="77777777" w:rsidR="00537F3B" w:rsidRPr="00561BA0" w:rsidRDefault="00537F3B" w:rsidP="003976B1">
            <w:pPr>
              <w:pStyle w:val="TabletextrowsAgency"/>
            </w:pPr>
          </w:p>
        </w:tc>
      </w:tr>
      <w:tr w:rsidR="000B69A9" w:rsidRPr="00B822FC" w14:paraId="6197503A" w14:textId="77777777" w:rsidTr="0067610E">
        <w:tc>
          <w:tcPr>
            <w:tcW w:w="645" w:type="pct"/>
            <w:shd w:val="clear" w:color="auto" w:fill="E1E3F2"/>
          </w:tcPr>
          <w:p w14:paraId="14DB1EC5" w14:textId="77777777" w:rsidR="000B69A9" w:rsidRDefault="005338C3">
            <w:pPr>
              <w:pStyle w:val="TabletextrowsAgency"/>
            </w:pPr>
            <w:r>
              <w:t>2109</w:t>
            </w:r>
          </w:p>
        </w:tc>
        <w:tc>
          <w:tcPr>
            <w:tcW w:w="812" w:type="pct"/>
            <w:shd w:val="clear" w:color="auto" w:fill="E1E3F2"/>
          </w:tcPr>
          <w:p w14:paraId="353826C3" w14:textId="77777777" w:rsidR="000B69A9" w:rsidRDefault="000B69A9">
            <w:pPr>
              <w:pStyle w:val="TabletextrowsAgency"/>
            </w:pPr>
          </w:p>
        </w:tc>
        <w:tc>
          <w:tcPr>
            <w:tcW w:w="2006" w:type="pct"/>
            <w:shd w:val="clear" w:color="auto" w:fill="E1E3F2"/>
          </w:tcPr>
          <w:p w14:paraId="4633CD59" w14:textId="77777777" w:rsidR="00F323EA" w:rsidRDefault="00F323EA" w:rsidP="00F323EA">
            <w:pPr>
              <w:pStyle w:val="TabletextrowsAgency"/>
            </w:pPr>
            <w:r>
              <w:t>Comment</w:t>
            </w:r>
            <w:r w:rsidRPr="00B822FC">
              <w:t>:</w:t>
            </w:r>
          </w:p>
          <w:p w14:paraId="4C59A640" w14:textId="77777777" w:rsidR="000B69A9" w:rsidRDefault="005338C3" w:rsidP="00CB5B21">
            <w:pPr>
              <w:pStyle w:val="TabletextrowsAgency"/>
            </w:pPr>
            <w:r>
              <w:t xml:space="preserve">The wording “The manufacturer should document the reconstitution process” sounds misleading. </w:t>
            </w:r>
            <w:r w:rsidR="00D845BC">
              <w:t>The documentation is performed by the clinic</w:t>
            </w:r>
            <w:r w:rsidR="001B3937">
              <w:t xml:space="preserve"> (e.g. with documents provided by the manufacturer)</w:t>
            </w:r>
            <w:r w:rsidR="00D845BC">
              <w:t xml:space="preserve">. Does it mean that the documentation should be sent after performance to the manufacturer for integration in the batch record and </w:t>
            </w:r>
            <w:r w:rsidR="00F323EA">
              <w:t>archiving?</w:t>
            </w:r>
          </w:p>
          <w:p w14:paraId="264BB3B4" w14:textId="77777777" w:rsidR="00F323EA" w:rsidRDefault="00F323EA" w:rsidP="00F323EA">
            <w:pPr>
              <w:pStyle w:val="TabletextrowsAgency"/>
            </w:pPr>
            <w:r w:rsidRPr="00B822FC">
              <w:t>Proposed change (if any):</w:t>
            </w:r>
          </w:p>
          <w:p w14:paraId="4139BAAF" w14:textId="77777777" w:rsidR="00F323EA" w:rsidRDefault="00F323EA" w:rsidP="00CB5B21">
            <w:pPr>
              <w:pStyle w:val="TabletextrowsAgency"/>
            </w:pPr>
            <w:r>
              <w:t>Clarification of this issue.</w:t>
            </w:r>
          </w:p>
        </w:tc>
        <w:tc>
          <w:tcPr>
            <w:tcW w:w="1537" w:type="pct"/>
            <w:shd w:val="clear" w:color="auto" w:fill="E1E3F2"/>
          </w:tcPr>
          <w:p w14:paraId="5EBBB18D" w14:textId="77777777" w:rsidR="000B69A9" w:rsidRPr="00561BA0" w:rsidRDefault="000B69A9">
            <w:pPr>
              <w:pStyle w:val="TabletextrowsAgency"/>
            </w:pPr>
          </w:p>
        </w:tc>
      </w:tr>
      <w:tr w:rsidR="00A97AAF" w:rsidRPr="00B822FC" w14:paraId="1842A757" w14:textId="77777777" w:rsidTr="00A97AAF">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04EDB164" w14:textId="195548B2" w:rsidR="00A97AAF" w:rsidRDefault="00A97AAF" w:rsidP="00187FED">
            <w:pPr>
              <w:pStyle w:val="TabletextrowsAgency"/>
            </w:pPr>
            <w:r>
              <w:t>2140-2141</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2DBB0785" w14:textId="77777777" w:rsidR="00A97AAF" w:rsidRDefault="00A97AAF" w:rsidP="00187FED">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7B1C4A03" w14:textId="77777777" w:rsidR="00A97AAF" w:rsidRDefault="00A97AAF" w:rsidP="00187FED">
            <w:pPr>
              <w:pStyle w:val="TabletextrowsAgency"/>
            </w:pPr>
            <w:r>
              <w:t>Comment: For equipment the term “qualification” should be applied, in line with Section 10.1.</w:t>
            </w:r>
          </w:p>
          <w:p w14:paraId="075046FC" w14:textId="77777777" w:rsidR="00A97AAF" w:rsidRDefault="00A97AAF" w:rsidP="00187FED">
            <w:pPr>
              <w:pStyle w:val="TabletextrowsAgency"/>
            </w:pPr>
            <w:r>
              <w:t>Proposed change</w:t>
            </w:r>
            <w:r w:rsidRPr="00B822FC">
              <w:t>:</w:t>
            </w:r>
          </w:p>
          <w:p w14:paraId="2DBFE89F" w14:textId="77777777" w:rsidR="00A97AAF" w:rsidRPr="00AF44E1" w:rsidRDefault="00A97AAF" w:rsidP="00187FED">
            <w:pPr>
              <w:pStyle w:val="TabletextrowsAgency"/>
            </w:pPr>
            <w:r w:rsidRPr="00FB404F">
              <w:rPr>
                <w:strike/>
                <w:color w:val="C00000"/>
              </w:rPr>
              <w:t>Validation</w:t>
            </w:r>
            <w:r>
              <w:t xml:space="preserve"> </w:t>
            </w:r>
            <w:r w:rsidRPr="00187FED">
              <w:rPr>
                <w:color w:val="4F81BD"/>
              </w:rPr>
              <w:t>Qualification</w:t>
            </w:r>
            <w:r w:rsidRPr="00B50884">
              <w:t xml:space="preserve"> of the equipment: The </w:t>
            </w:r>
            <w:r w:rsidRPr="00FB404F">
              <w:rPr>
                <w:strike/>
                <w:color w:val="C00000"/>
              </w:rPr>
              <w:t>validation</w:t>
            </w:r>
            <w:r w:rsidRPr="00B50884">
              <w:t xml:space="preserve"> </w:t>
            </w:r>
            <w:r w:rsidRPr="00187FED">
              <w:rPr>
                <w:color w:val="4F81BD"/>
              </w:rPr>
              <w:t>qualification</w:t>
            </w:r>
            <w:r>
              <w:t xml:space="preserve"> </w:t>
            </w:r>
            <w:r w:rsidRPr="00B50884">
              <w:t>process as described in Section 10.1 2140 applies.</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364BE2A5" w14:textId="77777777" w:rsidR="00A97AAF" w:rsidRPr="00561BA0" w:rsidRDefault="00A97AAF" w:rsidP="00187FED">
            <w:pPr>
              <w:pStyle w:val="TabletextrowsAgency"/>
            </w:pPr>
          </w:p>
        </w:tc>
      </w:tr>
      <w:tr w:rsidR="000B69A9" w:rsidRPr="00B822FC" w14:paraId="0777F37F" w14:textId="77777777" w:rsidTr="0067610E">
        <w:tc>
          <w:tcPr>
            <w:tcW w:w="645" w:type="pct"/>
            <w:shd w:val="clear" w:color="auto" w:fill="E1E3F2"/>
          </w:tcPr>
          <w:p w14:paraId="501A6E73" w14:textId="77777777" w:rsidR="000B69A9" w:rsidRDefault="00422A94">
            <w:pPr>
              <w:pStyle w:val="TabletextrowsAgency"/>
            </w:pPr>
            <w:r w:rsidRPr="00422A94">
              <w:t>2160-2162</w:t>
            </w:r>
          </w:p>
        </w:tc>
        <w:tc>
          <w:tcPr>
            <w:tcW w:w="812" w:type="pct"/>
            <w:shd w:val="clear" w:color="auto" w:fill="E1E3F2"/>
          </w:tcPr>
          <w:p w14:paraId="210C144F" w14:textId="77777777" w:rsidR="000B69A9" w:rsidRDefault="000B69A9">
            <w:pPr>
              <w:pStyle w:val="TabletextrowsAgency"/>
            </w:pPr>
          </w:p>
        </w:tc>
        <w:tc>
          <w:tcPr>
            <w:tcW w:w="2006" w:type="pct"/>
            <w:shd w:val="clear" w:color="auto" w:fill="E1E3F2"/>
          </w:tcPr>
          <w:p w14:paraId="6773EF11" w14:textId="77777777" w:rsidR="00422A94" w:rsidRDefault="00422A94" w:rsidP="00CB5B21">
            <w:pPr>
              <w:pStyle w:val="TabletextrowsAgency"/>
            </w:pPr>
            <w:r>
              <w:t>Comment</w:t>
            </w:r>
            <w:r w:rsidRPr="00422A94">
              <w:t>:</w:t>
            </w:r>
          </w:p>
          <w:p w14:paraId="65A74D3E" w14:textId="2AA37B97" w:rsidR="000B69A9" w:rsidRDefault="00422A94" w:rsidP="0084326E">
            <w:pPr>
              <w:pStyle w:val="TabletextrowsAgency"/>
            </w:pPr>
            <w:r w:rsidRPr="00422A94">
              <w:t xml:space="preserve">The responsibility of the maintenance program must be driven by the ATMP manufacturer. The device manufacturer should provide a maintenance scheme (timelines, content) to guarantee device warranty. </w:t>
            </w:r>
          </w:p>
        </w:tc>
        <w:tc>
          <w:tcPr>
            <w:tcW w:w="1537" w:type="pct"/>
            <w:shd w:val="clear" w:color="auto" w:fill="E1E3F2"/>
          </w:tcPr>
          <w:p w14:paraId="5E4B3D35" w14:textId="77777777" w:rsidR="000B69A9" w:rsidRPr="00561BA0" w:rsidRDefault="000B69A9">
            <w:pPr>
              <w:pStyle w:val="TabletextrowsAgency"/>
            </w:pPr>
          </w:p>
        </w:tc>
      </w:tr>
      <w:tr w:rsidR="00422A94" w:rsidRPr="00B822FC" w14:paraId="069D33FE" w14:textId="77777777" w:rsidTr="0067610E">
        <w:tc>
          <w:tcPr>
            <w:tcW w:w="645" w:type="pct"/>
            <w:shd w:val="clear" w:color="auto" w:fill="E1E3F2"/>
          </w:tcPr>
          <w:p w14:paraId="1FC50F6D" w14:textId="77777777" w:rsidR="00422A94" w:rsidRPr="00422A94" w:rsidRDefault="00422A94">
            <w:pPr>
              <w:pStyle w:val="TabletextrowsAgency"/>
            </w:pPr>
            <w:r w:rsidRPr="00422A94">
              <w:t>2176 f.</w:t>
            </w:r>
          </w:p>
        </w:tc>
        <w:tc>
          <w:tcPr>
            <w:tcW w:w="812" w:type="pct"/>
            <w:shd w:val="clear" w:color="auto" w:fill="E1E3F2"/>
          </w:tcPr>
          <w:p w14:paraId="65ED9C97" w14:textId="77777777" w:rsidR="00422A94" w:rsidRDefault="00422A94">
            <w:pPr>
              <w:pStyle w:val="TabletextrowsAgency"/>
            </w:pPr>
          </w:p>
        </w:tc>
        <w:tc>
          <w:tcPr>
            <w:tcW w:w="2006" w:type="pct"/>
            <w:shd w:val="clear" w:color="auto" w:fill="E1E3F2"/>
          </w:tcPr>
          <w:p w14:paraId="679D3E72" w14:textId="77777777" w:rsidR="00422A94" w:rsidRDefault="00422A94" w:rsidP="00422A94">
            <w:pPr>
              <w:pStyle w:val="TabletextrowsAgency"/>
            </w:pPr>
            <w:r>
              <w:t>Comment:</w:t>
            </w:r>
          </w:p>
          <w:p w14:paraId="16718358" w14:textId="77777777" w:rsidR="00422A94" w:rsidRPr="00422A94" w:rsidRDefault="00422A94" w:rsidP="00422A94">
            <w:pPr>
              <w:pStyle w:val="TabletextrowsAgency"/>
              <w:rPr>
                <w:i/>
              </w:rPr>
            </w:pPr>
            <w:r w:rsidRPr="00422A94">
              <w:rPr>
                <w:i/>
              </w:rPr>
              <w:t xml:space="preserve"> “controlled but non-classified background environment acceptable for short processes (while patient waiting)” </w:t>
            </w:r>
          </w:p>
          <w:p w14:paraId="1BC877F9" w14:textId="77777777" w:rsidR="00422A94" w:rsidRDefault="00422A94" w:rsidP="00422A94">
            <w:pPr>
              <w:pStyle w:val="TabletextrowsAgency"/>
            </w:pPr>
            <w:r>
              <w:t>This paragraph doesn’t consider longer procedures while patient might be even waiting at home - why limit to short processes while patient is in surgery? A validated closed system is proven for having no contact between the product and the environment, even reduced particle monitoring is acceptable if justified (refer to lines 572 f.), so if the patient can wait days during manufacture, so longer procedures performed under validated closed system should also be manufacturer controlled non classified room for weeks.</w:t>
            </w:r>
          </w:p>
        </w:tc>
        <w:tc>
          <w:tcPr>
            <w:tcW w:w="1537" w:type="pct"/>
            <w:shd w:val="clear" w:color="auto" w:fill="E1E3F2"/>
          </w:tcPr>
          <w:p w14:paraId="74AF5D5A" w14:textId="77777777" w:rsidR="00422A94" w:rsidRPr="00561BA0" w:rsidRDefault="00422A94">
            <w:pPr>
              <w:pStyle w:val="TabletextrowsAgency"/>
            </w:pPr>
          </w:p>
        </w:tc>
      </w:tr>
      <w:tr w:rsidR="00422A94" w:rsidRPr="00B822FC" w14:paraId="4A1856CA" w14:textId="77777777" w:rsidTr="0067610E">
        <w:tc>
          <w:tcPr>
            <w:tcW w:w="645" w:type="pct"/>
            <w:shd w:val="clear" w:color="auto" w:fill="E1E3F2"/>
          </w:tcPr>
          <w:p w14:paraId="57E05922" w14:textId="77777777" w:rsidR="00422A94" w:rsidRPr="00422A94" w:rsidRDefault="00422A94">
            <w:pPr>
              <w:pStyle w:val="TabletextrowsAgency"/>
            </w:pPr>
            <w:r w:rsidRPr="00422A94">
              <w:t>2200 (end of the line)</w:t>
            </w:r>
          </w:p>
        </w:tc>
        <w:tc>
          <w:tcPr>
            <w:tcW w:w="812" w:type="pct"/>
            <w:shd w:val="clear" w:color="auto" w:fill="E1E3F2"/>
          </w:tcPr>
          <w:p w14:paraId="54C86097" w14:textId="77777777" w:rsidR="00422A94" w:rsidRDefault="00422A94">
            <w:pPr>
              <w:pStyle w:val="TabletextrowsAgency"/>
            </w:pPr>
          </w:p>
        </w:tc>
        <w:tc>
          <w:tcPr>
            <w:tcW w:w="2006" w:type="pct"/>
            <w:shd w:val="clear" w:color="auto" w:fill="E1E3F2"/>
          </w:tcPr>
          <w:p w14:paraId="262E68A2" w14:textId="77777777" w:rsidR="00422A94" w:rsidRDefault="00422A94" w:rsidP="00422A94">
            <w:pPr>
              <w:pStyle w:val="TabletextrowsAgency"/>
            </w:pPr>
            <w:r>
              <w:t>Comment:</w:t>
            </w:r>
          </w:p>
          <w:p w14:paraId="5D70D848" w14:textId="77777777" w:rsidR="00422A94" w:rsidRDefault="00422A94" w:rsidP="00422A94">
            <w:pPr>
              <w:pStyle w:val="TabletextrowsAgency"/>
            </w:pPr>
            <w:r w:rsidRPr="00422A94">
              <w:t>number of the section to refer to is missing!</w:t>
            </w:r>
          </w:p>
        </w:tc>
        <w:tc>
          <w:tcPr>
            <w:tcW w:w="1537" w:type="pct"/>
            <w:shd w:val="clear" w:color="auto" w:fill="E1E3F2"/>
          </w:tcPr>
          <w:p w14:paraId="4D261C4B" w14:textId="77777777" w:rsidR="00422A94" w:rsidRPr="00561BA0" w:rsidRDefault="00422A94">
            <w:pPr>
              <w:pStyle w:val="TabletextrowsAgency"/>
            </w:pPr>
          </w:p>
        </w:tc>
      </w:tr>
      <w:tr w:rsidR="00422A94" w:rsidRPr="00B822FC" w14:paraId="73789DC1" w14:textId="77777777" w:rsidTr="0067610E">
        <w:tc>
          <w:tcPr>
            <w:tcW w:w="645" w:type="pct"/>
            <w:shd w:val="clear" w:color="auto" w:fill="E1E3F2"/>
          </w:tcPr>
          <w:p w14:paraId="22C672A7" w14:textId="77777777" w:rsidR="00422A94" w:rsidRPr="00422A94" w:rsidRDefault="00422A94">
            <w:pPr>
              <w:pStyle w:val="TabletextrowsAgency"/>
            </w:pPr>
            <w:r w:rsidRPr="00422A94">
              <w:t>2202-2203</w:t>
            </w:r>
          </w:p>
        </w:tc>
        <w:tc>
          <w:tcPr>
            <w:tcW w:w="812" w:type="pct"/>
            <w:shd w:val="clear" w:color="auto" w:fill="E1E3F2"/>
          </w:tcPr>
          <w:p w14:paraId="32294065" w14:textId="77777777" w:rsidR="00422A94" w:rsidRDefault="00422A94">
            <w:pPr>
              <w:pStyle w:val="TabletextrowsAgency"/>
            </w:pPr>
          </w:p>
        </w:tc>
        <w:tc>
          <w:tcPr>
            <w:tcW w:w="2006" w:type="pct"/>
            <w:shd w:val="clear" w:color="auto" w:fill="E1E3F2"/>
          </w:tcPr>
          <w:p w14:paraId="7398205B" w14:textId="77777777" w:rsidR="00422A94" w:rsidRDefault="00422A94" w:rsidP="00422A94">
            <w:pPr>
              <w:pStyle w:val="TabletextrowsAgency"/>
            </w:pPr>
            <w:r>
              <w:t>Comment</w:t>
            </w:r>
            <w:r w:rsidRPr="00422A94">
              <w:t>:</w:t>
            </w:r>
          </w:p>
          <w:p w14:paraId="2E1E2FB5" w14:textId="0C8086ED" w:rsidR="00422A94" w:rsidRDefault="00422A94" w:rsidP="005C256E">
            <w:pPr>
              <w:pStyle w:val="TabletextrowsAgency"/>
            </w:pPr>
            <w:r w:rsidRPr="00422A94">
              <w:t>Same QP can be responsible for more than one site for the release of the product. Need more precision: is there still the need of a QP per manufacturing site? Can the “central” release of the multi-site-QP take place on its own or the local release by the local QP needed first?</w:t>
            </w:r>
          </w:p>
        </w:tc>
        <w:tc>
          <w:tcPr>
            <w:tcW w:w="1537" w:type="pct"/>
            <w:shd w:val="clear" w:color="auto" w:fill="E1E3F2"/>
          </w:tcPr>
          <w:p w14:paraId="5718F4EA" w14:textId="77777777" w:rsidR="00422A94" w:rsidRPr="00561BA0" w:rsidRDefault="00422A94">
            <w:pPr>
              <w:pStyle w:val="TabletextrowsAgency"/>
            </w:pPr>
          </w:p>
        </w:tc>
      </w:tr>
    </w:tbl>
    <w:p w14:paraId="7548F2C4" w14:textId="77777777" w:rsidR="0067610E" w:rsidRPr="00B822FC" w:rsidRDefault="0067610E">
      <w:pPr>
        <w:pStyle w:val="TableFigurenoteAgency"/>
      </w:pPr>
      <w:r w:rsidRPr="00B822FC">
        <w:t>Please add more rows if needed.</w:t>
      </w:r>
    </w:p>
    <w:sectPr w:rsidR="0067610E" w:rsidRPr="00B822FC">
      <w:pgSz w:w="16838" w:h="11906" w:orient="landscape" w:code="9"/>
      <w:pgMar w:top="1418" w:right="1134" w:bottom="1418" w:left="1134" w:header="737" w:footer="73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138D92" w15:done="0"/>
  <w15:commentEx w15:paraId="0A963A93" w15:done="0"/>
  <w15:commentEx w15:paraId="4051C623" w15:done="0"/>
  <w15:commentEx w15:paraId="1C2AF10D" w15:done="0"/>
  <w15:commentEx w15:paraId="264E9E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C9FC8" w14:textId="77777777" w:rsidR="00835CE7" w:rsidRDefault="00835CE7">
      <w:r>
        <w:separator/>
      </w:r>
    </w:p>
  </w:endnote>
  <w:endnote w:type="continuationSeparator" w:id="0">
    <w:p w14:paraId="1BDA13D4" w14:textId="77777777" w:rsidR="00835CE7" w:rsidRDefault="0083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835CE7" w:rsidRPr="00A44B87" w14:paraId="1C68D606" w14:textId="77777777" w:rsidTr="0067610E">
      <w:tc>
        <w:tcPr>
          <w:tcW w:w="5000" w:type="pct"/>
          <w:gridSpan w:val="2"/>
          <w:shd w:val="clear" w:color="auto" w:fill="auto"/>
          <w:tcMar>
            <w:left w:w="0" w:type="dxa"/>
            <w:right w:w="0" w:type="dxa"/>
          </w:tcMar>
        </w:tcPr>
        <w:p w14:paraId="23876635" w14:textId="77777777" w:rsidR="00835CE7" w:rsidRPr="00A44B87" w:rsidRDefault="00835CE7">
          <w:pPr>
            <w:pStyle w:val="FooterAgency"/>
          </w:pPr>
        </w:p>
      </w:tc>
    </w:tr>
    <w:tr w:rsidR="00835CE7" w:rsidRPr="00A44B87" w14:paraId="556360C1" w14:textId="77777777" w:rsidTr="0067610E">
      <w:trPr>
        <w:trHeight w:val="355"/>
      </w:trPr>
      <w:tc>
        <w:tcPr>
          <w:tcW w:w="3291" w:type="pct"/>
          <w:shd w:val="clear" w:color="auto" w:fill="auto"/>
          <w:tcMar>
            <w:left w:w="0" w:type="dxa"/>
            <w:right w:w="0" w:type="dxa"/>
          </w:tcMar>
        </w:tcPr>
        <w:p w14:paraId="7CE764B1" w14:textId="77777777" w:rsidR="00835CE7" w:rsidRPr="00A44B87" w:rsidRDefault="00835CE7">
          <w:pPr>
            <w:pStyle w:val="FooterAgency"/>
          </w:pPr>
        </w:p>
      </w:tc>
      <w:tc>
        <w:tcPr>
          <w:tcW w:w="1709" w:type="pct"/>
          <w:shd w:val="clear" w:color="auto" w:fill="auto"/>
          <w:tcMar>
            <w:left w:w="0" w:type="dxa"/>
            <w:right w:w="0" w:type="dxa"/>
          </w:tcMar>
        </w:tcPr>
        <w:p w14:paraId="540EC333" w14:textId="77777777" w:rsidR="00835CE7" w:rsidRPr="00A44B87" w:rsidRDefault="00835CE7">
          <w:pPr>
            <w:pStyle w:val="FooterAgency"/>
          </w:pPr>
        </w:p>
      </w:tc>
    </w:tr>
    <w:tr w:rsidR="00835CE7" w:rsidRPr="00A44B87" w14:paraId="5598F541" w14:textId="77777777" w:rsidTr="0067610E">
      <w:tc>
        <w:tcPr>
          <w:tcW w:w="3291" w:type="pct"/>
          <w:shd w:val="clear" w:color="auto" w:fill="auto"/>
          <w:tcMar>
            <w:left w:w="0" w:type="dxa"/>
            <w:right w:w="0" w:type="dxa"/>
          </w:tcMar>
        </w:tcPr>
        <w:p w14:paraId="6083B529" w14:textId="77777777" w:rsidR="00835CE7" w:rsidRPr="00A44B87" w:rsidRDefault="00835CE7">
          <w:pPr>
            <w:pStyle w:val="FooterAgency"/>
          </w:pPr>
        </w:p>
      </w:tc>
      <w:tc>
        <w:tcPr>
          <w:tcW w:w="1709" w:type="pct"/>
          <w:shd w:val="clear" w:color="auto" w:fill="auto"/>
          <w:tcMar>
            <w:left w:w="0" w:type="dxa"/>
            <w:right w:w="0" w:type="dxa"/>
          </w:tcMar>
        </w:tcPr>
        <w:p w14:paraId="37C9D90F" w14:textId="4C0C90DB" w:rsidR="00835CE7" w:rsidRPr="00A44B87" w:rsidRDefault="00835CE7" w:rsidP="0067610E">
          <w:pPr>
            <w:pStyle w:val="PagenumberAgency"/>
            <w:ind w:right="210"/>
          </w:pPr>
          <w:r w:rsidRPr="006E62FC">
            <w:fldChar w:fldCharType="begin"/>
          </w:r>
          <w:r w:rsidRPr="006E62FC">
            <w:instrText xml:space="preserve"> PAGE </w:instrText>
          </w:r>
          <w:r w:rsidRPr="006E62FC">
            <w:fldChar w:fldCharType="separate"/>
          </w:r>
          <w:r w:rsidR="00CE5611">
            <w:rPr>
              <w:noProof/>
            </w:rPr>
            <w:t>22</w:t>
          </w:r>
          <w:r w:rsidRPr="006E62FC">
            <w:fldChar w:fldCharType="end"/>
          </w:r>
          <w:r w:rsidRPr="006E62FC">
            <w:t>/</w:t>
          </w:r>
          <w:r w:rsidRPr="006E62FC">
            <w:fldChar w:fldCharType="begin"/>
          </w:r>
          <w:r w:rsidRPr="006E62FC">
            <w:instrText xml:space="preserve"> NUMPAGES </w:instrText>
          </w:r>
          <w:r w:rsidRPr="006E62FC">
            <w:fldChar w:fldCharType="separate"/>
          </w:r>
          <w:r w:rsidR="00CE5611">
            <w:rPr>
              <w:noProof/>
            </w:rPr>
            <w:t>22</w:t>
          </w:r>
          <w:r w:rsidRPr="006E62FC">
            <w:fldChar w:fldCharType="end"/>
          </w:r>
        </w:p>
      </w:tc>
    </w:tr>
  </w:tbl>
  <w:p w14:paraId="6805B286" w14:textId="77777777" w:rsidR="00835CE7" w:rsidRDefault="00835CE7">
    <w:pPr>
      <w:pStyle w:val="FooterAgency"/>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835CE7" w:rsidRPr="00A44B87" w14:paraId="445A3BD6" w14:textId="77777777" w:rsidTr="0067610E">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14:paraId="786135CF" w14:textId="77777777" w:rsidR="00835CE7" w:rsidRPr="00A44B87" w:rsidRDefault="00835CE7">
          <w:pPr>
            <w:pStyle w:val="FooterAgency"/>
          </w:pPr>
        </w:p>
      </w:tc>
    </w:tr>
    <w:tr w:rsidR="00835CE7" w:rsidRPr="0067610E" w14:paraId="23BD4C71" w14:textId="77777777" w:rsidTr="0067610E">
      <w:trPr>
        <w:trHeight w:hRule="exact" w:val="198"/>
      </w:trPr>
      <w:tc>
        <w:tcPr>
          <w:tcW w:w="6206" w:type="dxa"/>
          <w:shd w:val="clear" w:color="auto" w:fill="auto"/>
          <w:tcMar>
            <w:left w:w="0" w:type="dxa"/>
            <w:right w:w="0" w:type="dxa"/>
          </w:tcMar>
          <w:vAlign w:val="bottom"/>
        </w:tcPr>
        <w:p w14:paraId="54B66179" w14:textId="77777777" w:rsidR="00835CE7" w:rsidRPr="003A07BE" w:rsidRDefault="00835CE7">
          <w:pPr>
            <w:pStyle w:val="FooterAgency"/>
          </w:pPr>
          <w:r w:rsidRPr="003A07BE">
            <w:t xml:space="preserve">7 Westferry Circus </w:t>
          </w:r>
          <w:r w:rsidRPr="00696743">
            <w:rPr>
              <w:rStyle w:val="FooterblueAgencyCharChar"/>
            </w:rPr>
            <w:t>●</w:t>
          </w:r>
          <w:r w:rsidRPr="003A07BE">
            <w:t xml:space="preserve"> </w:t>
          </w:r>
          <w:smartTag w:uri="urn:schemas-microsoft-com:office:smarttags" w:element="PlaceName">
            <w:r w:rsidRPr="003A07BE">
              <w:t>Canary</w:t>
            </w:r>
          </w:smartTag>
          <w:r w:rsidRPr="003A07BE">
            <w:t xml:space="preserve"> </w:t>
          </w:r>
          <w:smartTag w:uri="urn:schemas-microsoft-com:office:smarttags" w:element="PlaceType">
            <w:r w:rsidRPr="003A07BE">
              <w:t>Wharf</w:t>
            </w:r>
          </w:smartTag>
          <w:r w:rsidRPr="003A07BE">
            <w:t xml:space="preserve"> </w:t>
          </w:r>
          <w:r w:rsidRPr="00696743">
            <w:rPr>
              <w:rStyle w:val="FooterblueAgencyCharChar"/>
            </w:rPr>
            <w:t>●</w:t>
          </w:r>
          <w:r w:rsidRPr="003A07BE">
            <w:t xml:space="preserve"> </w:t>
          </w:r>
          <w:smartTag w:uri="urn:schemas-microsoft-com:office:smarttags" w:element="City">
            <w:r w:rsidRPr="003A07BE">
              <w:t>London</w:t>
            </w:r>
          </w:smartTag>
          <w:r w:rsidRPr="003A07BE">
            <w:t xml:space="preserve"> E14 4HB </w:t>
          </w:r>
          <w:r w:rsidRPr="00696743">
            <w:rPr>
              <w:rStyle w:val="FooterblueAgencyCharChar"/>
            </w:rPr>
            <w:t>●</w:t>
          </w:r>
          <w:r w:rsidRPr="003A07BE">
            <w:t xml:space="preserve"> </w:t>
          </w:r>
          <w:smartTag w:uri="urn:schemas-microsoft-com:office:smarttags" w:element="country-region">
            <w:smartTag w:uri="urn:schemas-microsoft-com:office:smarttags" w:element="place">
              <w:r w:rsidRPr="003A07BE">
                <w:t>United Kingdom</w:t>
              </w:r>
            </w:smartTag>
          </w:smartTag>
        </w:p>
      </w:tc>
      <w:tc>
        <w:tcPr>
          <w:tcW w:w="3207" w:type="dxa"/>
          <w:vMerge w:val="restart"/>
          <w:shd w:val="clear" w:color="auto" w:fill="auto"/>
          <w:tcMar>
            <w:left w:w="0" w:type="dxa"/>
            <w:right w:w="0" w:type="dxa"/>
          </w:tcMar>
          <w:vAlign w:val="bottom"/>
        </w:tcPr>
        <w:tbl>
          <w:tblPr>
            <w:tblW w:w="0" w:type="auto"/>
            <w:jc w:val="right"/>
            <w:tblLook w:val="01E0" w:firstRow="1" w:lastRow="1" w:firstColumn="1" w:lastColumn="1" w:noHBand="0" w:noVBand="0"/>
          </w:tblPr>
          <w:tblGrid>
            <w:gridCol w:w="2478"/>
            <w:gridCol w:w="729"/>
          </w:tblGrid>
          <w:tr w:rsidR="00835CE7" w:rsidRPr="00A44B87" w14:paraId="48BD3B3D" w14:textId="77777777" w:rsidTr="0067610E">
            <w:trPr>
              <w:trHeight w:val="180"/>
              <w:tblHeader/>
              <w:jc w:val="right"/>
            </w:trPr>
            <w:tc>
              <w:tcPr>
                <w:tcW w:w="2478" w:type="dxa"/>
                <w:vMerge w:val="restart"/>
                <w:tcBorders>
                  <w:top w:val="nil"/>
                  <w:left w:val="nil"/>
                  <w:bottom w:val="nil"/>
                  <w:right w:val="nil"/>
                  <w:tl2br w:val="nil"/>
                  <w:tr2bl w:val="nil"/>
                </w:tcBorders>
                <w:shd w:val="clear" w:color="auto" w:fill="auto"/>
                <w:vAlign w:val="bottom"/>
              </w:tcPr>
              <w:p w14:paraId="73C64BE6" w14:textId="77777777" w:rsidR="00835CE7" w:rsidRPr="00A44B87" w:rsidRDefault="00835CE7" w:rsidP="0067610E">
                <w:pPr>
                  <w:pStyle w:val="FooterAgency"/>
                  <w:jc w:val="right"/>
                </w:pPr>
                <w:r w:rsidRPr="0067610E">
                  <w:rPr>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14:paraId="195ABACE" w14:textId="16AE89D8" w:rsidR="00835CE7" w:rsidRPr="00A44B87" w:rsidRDefault="00835CE7" w:rsidP="0067610E">
                <w:pPr>
                  <w:pStyle w:val="FooterAgency"/>
                  <w:jc w:val="right"/>
                </w:pPr>
                <w:r>
                  <w:rPr>
                    <w:noProof/>
                  </w:rPr>
                  <w:drawing>
                    <wp:inline distT="0" distB="0" distL="0" distR="0" wp14:anchorId="760028EA" wp14:editId="63C84FE9">
                      <wp:extent cx="390525" cy="266700"/>
                      <wp:effectExtent l="0" t="0" r="0" b="0"/>
                      <wp:docPr id="2" name="Bild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p>
            </w:tc>
          </w:tr>
          <w:tr w:rsidR="00835CE7" w:rsidRPr="00A44B87" w14:paraId="25654F36" w14:textId="77777777" w:rsidTr="0067610E">
            <w:trPr>
              <w:trHeight w:val="390"/>
              <w:jc w:val="right"/>
            </w:trPr>
            <w:tc>
              <w:tcPr>
                <w:tcW w:w="2478" w:type="dxa"/>
                <w:vMerge/>
                <w:shd w:val="clear" w:color="auto" w:fill="auto"/>
                <w:vAlign w:val="bottom"/>
              </w:tcPr>
              <w:p w14:paraId="1E967B2A" w14:textId="77777777" w:rsidR="00835CE7" w:rsidRPr="00A44B87" w:rsidRDefault="00835CE7">
                <w:pPr>
                  <w:pStyle w:val="FooterAgency"/>
                </w:pPr>
              </w:p>
            </w:tc>
            <w:tc>
              <w:tcPr>
                <w:tcW w:w="709" w:type="dxa"/>
                <w:vMerge/>
                <w:shd w:val="clear" w:color="auto" w:fill="auto"/>
                <w:vAlign w:val="bottom"/>
              </w:tcPr>
              <w:p w14:paraId="0DFFB23C" w14:textId="77777777" w:rsidR="00835CE7" w:rsidRPr="00A44B87" w:rsidRDefault="00835CE7">
                <w:pPr>
                  <w:pStyle w:val="FooterAgency"/>
                </w:pPr>
              </w:p>
            </w:tc>
          </w:tr>
        </w:tbl>
        <w:p w14:paraId="3A9C92EC" w14:textId="77777777" w:rsidR="00835CE7" w:rsidRPr="00A44B87" w:rsidRDefault="00835CE7" w:rsidP="0067610E">
          <w:pPr>
            <w:pStyle w:val="FooterAgency"/>
            <w:widowControl w:val="0"/>
            <w:adjustRightInd w:val="0"/>
            <w:jc w:val="right"/>
          </w:pPr>
        </w:p>
      </w:tc>
    </w:tr>
    <w:tr w:rsidR="00835CE7" w:rsidRPr="0067610E" w14:paraId="5E35E28F" w14:textId="77777777" w:rsidTr="0067610E">
      <w:trPr>
        <w:trHeight w:val="390"/>
      </w:trPr>
      <w:tc>
        <w:tcPr>
          <w:tcW w:w="6206" w:type="dxa"/>
          <w:shd w:val="clear" w:color="auto" w:fill="auto"/>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835CE7" w:rsidRPr="003A07BE" w14:paraId="568F8387" w14:textId="77777777">
            <w:trPr>
              <w:trHeight w:hRule="exact" w:val="198"/>
            </w:trPr>
            <w:tc>
              <w:tcPr>
                <w:tcW w:w="840" w:type="dxa"/>
                <w:gridSpan w:val="2"/>
                <w:vAlign w:val="bottom"/>
              </w:tcPr>
              <w:p w14:paraId="302A4353" w14:textId="77777777" w:rsidR="00835CE7" w:rsidRPr="003A07BE" w:rsidRDefault="00835CE7">
                <w:pPr>
                  <w:pStyle w:val="FooterblueAgency"/>
                </w:pPr>
                <w:r w:rsidRPr="003A07BE">
                  <w:t>Telephone</w:t>
                </w:r>
              </w:p>
            </w:tc>
            <w:tc>
              <w:tcPr>
                <w:tcW w:w="1648" w:type="dxa"/>
                <w:gridSpan w:val="2"/>
                <w:vAlign w:val="bottom"/>
              </w:tcPr>
              <w:p w14:paraId="60658A70" w14:textId="77777777" w:rsidR="00835CE7" w:rsidRPr="003A07BE" w:rsidRDefault="00835CE7">
                <w:pPr>
                  <w:pStyle w:val="FooterAgency"/>
                </w:pPr>
                <w:r w:rsidRPr="003A07BE">
                  <w:t>+44 (0)20 7418 8400</w:t>
                </w:r>
              </w:p>
            </w:tc>
            <w:tc>
              <w:tcPr>
                <w:tcW w:w="726" w:type="dxa"/>
                <w:gridSpan w:val="2"/>
                <w:vAlign w:val="bottom"/>
              </w:tcPr>
              <w:p w14:paraId="327CC8E0" w14:textId="77777777" w:rsidR="00835CE7" w:rsidRPr="003A07BE" w:rsidRDefault="00835CE7">
                <w:pPr>
                  <w:pStyle w:val="FooterblueAgency"/>
                </w:pPr>
                <w:r w:rsidRPr="003A07BE">
                  <w:t>Facsimile</w:t>
                </w:r>
              </w:p>
            </w:tc>
            <w:tc>
              <w:tcPr>
                <w:tcW w:w="2767" w:type="dxa"/>
                <w:vAlign w:val="bottom"/>
              </w:tcPr>
              <w:p w14:paraId="7832F936" w14:textId="77777777" w:rsidR="00835CE7" w:rsidRPr="003A07BE" w:rsidRDefault="00835CE7">
                <w:pPr>
                  <w:pStyle w:val="FooterAgency"/>
                </w:pPr>
                <w:r w:rsidRPr="003A07BE">
                  <w:t>+44 (0)20 7</w:t>
                </w:r>
                <w:r>
                  <w:t>418 8416</w:t>
                </w:r>
              </w:p>
            </w:tc>
          </w:tr>
          <w:tr w:rsidR="00835CE7" w:rsidRPr="003A07BE" w14:paraId="697FFA63" w14:textId="77777777">
            <w:trPr>
              <w:trHeight w:hRule="exact" w:val="198"/>
            </w:trPr>
            <w:tc>
              <w:tcPr>
                <w:tcW w:w="522" w:type="dxa"/>
                <w:vAlign w:val="bottom"/>
              </w:tcPr>
              <w:p w14:paraId="5AB5B612" w14:textId="77777777" w:rsidR="00835CE7" w:rsidRPr="003A07BE" w:rsidRDefault="00835CE7">
                <w:pPr>
                  <w:pStyle w:val="FooterblueAgency"/>
                </w:pPr>
                <w:r w:rsidRPr="003A07BE">
                  <w:t>E-mail</w:t>
                </w:r>
              </w:p>
            </w:tc>
            <w:tc>
              <w:tcPr>
                <w:tcW w:w="1566" w:type="dxa"/>
                <w:gridSpan w:val="2"/>
                <w:vAlign w:val="bottom"/>
              </w:tcPr>
              <w:p w14:paraId="0816BD30" w14:textId="77777777" w:rsidR="00835CE7" w:rsidRPr="003A07BE" w:rsidRDefault="00835CE7">
                <w:pPr>
                  <w:pStyle w:val="FooterAgency"/>
                </w:pPr>
                <w:r w:rsidRPr="003A07BE">
                  <w:t>info@ema.europa.eu</w:t>
                </w:r>
              </w:p>
            </w:tc>
            <w:tc>
              <w:tcPr>
                <w:tcW w:w="649" w:type="dxa"/>
                <w:gridSpan w:val="2"/>
                <w:vAlign w:val="bottom"/>
              </w:tcPr>
              <w:p w14:paraId="6B649C72" w14:textId="77777777" w:rsidR="00835CE7" w:rsidRPr="003A07BE" w:rsidRDefault="00835CE7">
                <w:pPr>
                  <w:pStyle w:val="FooterblueAgency"/>
                </w:pPr>
                <w:r w:rsidRPr="003A07BE">
                  <w:t>Website</w:t>
                </w:r>
              </w:p>
            </w:tc>
            <w:tc>
              <w:tcPr>
                <w:tcW w:w="3244" w:type="dxa"/>
                <w:gridSpan w:val="2"/>
                <w:vAlign w:val="bottom"/>
              </w:tcPr>
              <w:p w14:paraId="0DD2C298" w14:textId="77777777" w:rsidR="00835CE7" w:rsidRPr="003A07BE" w:rsidRDefault="00835CE7">
                <w:pPr>
                  <w:pStyle w:val="FooterAgency"/>
                </w:pPr>
                <w:r w:rsidRPr="003A07BE">
                  <w:t>www.ema.europa.eu</w:t>
                </w:r>
              </w:p>
            </w:tc>
          </w:tr>
        </w:tbl>
        <w:p w14:paraId="6DB59881" w14:textId="77777777" w:rsidR="00835CE7" w:rsidRPr="003A07BE" w:rsidRDefault="00835CE7">
          <w:pPr>
            <w:pStyle w:val="FooterAgency"/>
          </w:pPr>
        </w:p>
      </w:tc>
      <w:tc>
        <w:tcPr>
          <w:tcW w:w="3207" w:type="dxa"/>
          <w:vMerge/>
          <w:shd w:val="clear" w:color="auto" w:fill="auto"/>
          <w:tcMar>
            <w:left w:w="0" w:type="dxa"/>
            <w:right w:w="0" w:type="dxa"/>
          </w:tcMar>
          <w:vAlign w:val="bottom"/>
        </w:tcPr>
        <w:p w14:paraId="6AA88652" w14:textId="77777777" w:rsidR="00835CE7" w:rsidRPr="00A44B87" w:rsidRDefault="00835CE7">
          <w:pPr>
            <w:pStyle w:val="FooterAgency"/>
          </w:pPr>
        </w:p>
      </w:tc>
    </w:tr>
    <w:tr w:rsidR="00835CE7" w:rsidRPr="00A44B87" w14:paraId="70227C92" w14:textId="77777777" w:rsidTr="0067610E">
      <w:tc>
        <w:tcPr>
          <w:tcW w:w="9413" w:type="dxa"/>
          <w:gridSpan w:val="2"/>
          <w:shd w:val="clear" w:color="auto" w:fill="auto"/>
          <w:tcMar>
            <w:left w:w="0" w:type="dxa"/>
            <w:right w:w="0" w:type="dxa"/>
          </w:tcMar>
          <w:vAlign w:val="bottom"/>
        </w:tcPr>
        <w:p w14:paraId="544181EE" w14:textId="77777777" w:rsidR="00835CE7" w:rsidRPr="00A44B87" w:rsidRDefault="00835CE7">
          <w:pPr>
            <w:pStyle w:val="FooterAgency"/>
          </w:pPr>
        </w:p>
      </w:tc>
    </w:tr>
    <w:tr w:rsidR="00835CE7" w:rsidRPr="00A44B87" w14:paraId="283A5BAF" w14:textId="77777777" w:rsidTr="0067610E">
      <w:tc>
        <w:tcPr>
          <w:tcW w:w="9413" w:type="dxa"/>
          <w:gridSpan w:val="2"/>
          <w:shd w:val="clear" w:color="auto" w:fill="auto"/>
          <w:tcMar>
            <w:left w:w="0" w:type="dxa"/>
            <w:right w:w="0" w:type="dxa"/>
          </w:tcMar>
          <w:vAlign w:val="bottom"/>
        </w:tcPr>
        <w:p w14:paraId="7611E991" w14:textId="77777777" w:rsidR="00835CE7" w:rsidRPr="00CE789B" w:rsidRDefault="00835CE7" w:rsidP="0067610E">
          <w:pPr>
            <w:pStyle w:val="FooterAgency"/>
            <w:jc w:val="center"/>
          </w:pPr>
        </w:p>
      </w:tc>
    </w:tr>
  </w:tbl>
  <w:p w14:paraId="61DC13BA" w14:textId="77777777" w:rsidR="00835CE7" w:rsidRDefault="00835CE7">
    <w:pPr>
      <w:pStyle w:val="FooterAgenc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4D1BF" w14:textId="77777777" w:rsidR="00835CE7" w:rsidRDefault="00835CE7">
      <w:r>
        <w:separator/>
      </w:r>
    </w:p>
  </w:footnote>
  <w:footnote w:type="continuationSeparator" w:id="0">
    <w:p w14:paraId="698657B9" w14:textId="77777777" w:rsidR="00835CE7" w:rsidRDefault="0083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AD5E8" w14:textId="78C5AAE0" w:rsidR="00835CE7" w:rsidRDefault="00835CE7">
    <w:pPr>
      <w:pStyle w:val="FooterAgency"/>
      <w:jc w:val="center"/>
    </w:pPr>
    <w:r>
      <w:rPr>
        <w:noProof/>
      </w:rPr>
      <w:drawing>
        <wp:inline distT="0" distB="0" distL="0" distR="0" wp14:anchorId="094D4FEF" wp14:editId="7C44DC55">
          <wp:extent cx="3562350" cy="1800225"/>
          <wp:effectExtent l="0" t="0" r="0" b="0"/>
          <wp:docPr id="1" name="Bild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1800225"/>
                  </a:xfrm>
                  <a:prstGeom prst="rect">
                    <a:avLst/>
                  </a:prstGeom>
                  <a:noFill/>
                  <a:ln>
                    <a:noFill/>
                  </a:ln>
                </pic:spPr>
              </pic:pic>
            </a:graphicData>
          </a:graphic>
        </wp:inline>
      </w:drawing>
    </w:r>
    <w:r w:rsidRPr="00233628">
      <w:rPr>
        <w:vanish/>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EA51591"/>
    <w:multiLevelType w:val="hybridMultilevel"/>
    <w:tmpl w:val="3E4E8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8">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num>
  <w:num w:numId="2">
    <w:abstractNumId w:val="12"/>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5"/>
  </w:num>
  <w:num w:numId="13">
    <w:abstractNumId w:val="11"/>
  </w:num>
  <w:num w:numId="14">
    <w:abstractNumId w:val="18"/>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2"/>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5"/>
  </w:num>
  <w:num w:numId="39">
    <w:abstractNumId w:val="11"/>
  </w:num>
  <w:num w:numId="4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 Ullrich">
    <w15:presenceInfo w15:providerId="None" w15:userId="Christian Ull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12EF5"/>
    <w:rsid w:val="0001298B"/>
    <w:rsid w:val="00012EF5"/>
    <w:rsid w:val="0001450C"/>
    <w:rsid w:val="00034EB9"/>
    <w:rsid w:val="000930F0"/>
    <w:rsid w:val="000B69A9"/>
    <w:rsid w:val="000D2AE6"/>
    <w:rsid w:val="000D6DE4"/>
    <w:rsid w:val="000F3C21"/>
    <w:rsid w:val="001204D7"/>
    <w:rsid w:val="00141D25"/>
    <w:rsid w:val="00187FED"/>
    <w:rsid w:val="00195E4B"/>
    <w:rsid w:val="001A65E9"/>
    <w:rsid w:val="001B3937"/>
    <w:rsid w:val="0022295E"/>
    <w:rsid w:val="00236683"/>
    <w:rsid w:val="00246220"/>
    <w:rsid w:val="00247EA6"/>
    <w:rsid w:val="002616A5"/>
    <w:rsid w:val="002A14BD"/>
    <w:rsid w:val="00301B0B"/>
    <w:rsid w:val="0030359C"/>
    <w:rsid w:val="00340171"/>
    <w:rsid w:val="0039084A"/>
    <w:rsid w:val="003976B1"/>
    <w:rsid w:val="00422A94"/>
    <w:rsid w:val="00440709"/>
    <w:rsid w:val="004910E7"/>
    <w:rsid w:val="004D16E8"/>
    <w:rsid w:val="004D22E3"/>
    <w:rsid w:val="005338C3"/>
    <w:rsid w:val="00537F3B"/>
    <w:rsid w:val="005807C2"/>
    <w:rsid w:val="005C256E"/>
    <w:rsid w:val="00651984"/>
    <w:rsid w:val="00660A06"/>
    <w:rsid w:val="0067610E"/>
    <w:rsid w:val="006E4460"/>
    <w:rsid w:val="00701DE2"/>
    <w:rsid w:val="007355D7"/>
    <w:rsid w:val="0073657B"/>
    <w:rsid w:val="007B74CB"/>
    <w:rsid w:val="007C2E36"/>
    <w:rsid w:val="007D3C90"/>
    <w:rsid w:val="007E72F1"/>
    <w:rsid w:val="00830B46"/>
    <w:rsid w:val="00835CE7"/>
    <w:rsid w:val="0084326E"/>
    <w:rsid w:val="00866844"/>
    <w:rsid w:val="009763D7"/>
    <w:rsid w:val="009C5079"/>
    <w:rsid w:val="009F5C0A"/>
    <w:rsid w:val="00A25DA0"/>
    <w:rsid w:val="00A90962"/>
    <w:rsid w:val="00A97AAF"/>
    <w:rsid w:val="00B10944"/>
    <w:rsid w:val="00B32F70"/>
    <w:rsid w:val="00B4366B"/>
    <w:rsid w:val="00B72E26"/>
    <w:rsid w:val="00B8295D"/>
    <w:rsid w:val="00B969FB"/>
    <w:rsid w:val="00C77446"/>
    <w:rsid w:val="00C8021F"/>
    <w:rsid w:val="00C9724A"/>
    <w:rsid w:val="00C97A06"/>
    <w:rsid w:val="00CA5F58"/>
    <w:rsid w:val="00CB5B21"/>
    <w:rsid w:val="00CE5611"/>
    <w:rsid w:val="00CF6077"/>
    <w:rsid w:val="00D22C28"/>
    <w:rsid w:val="00D26565"/>
    <w:rsid w:val="00D845BC"/>
    <w:rsid w:val="00D87456"/>
    <w:rsid w:val="00D94B61"/>
    <w:rsid w:val="00DA3DEA"/>
    <w:rsid w:val="00DB38FA"/>
    <w:rsid w:val="00DD6B3B"/>
    <w:rsid w:val="00DE7299"/>
    <w:rsid w:val="00DF1C5C"/>
    <w:rsid w:val="00E30BA6"/>
    <w:rsid w:val="00E40D46"/>
    <w:rsid w:val="00E52395"/>
    <w:rsid w:val="00E75854"/>
    <w:rsid w:val="00EC6D3A"/>
    <w:rsid w:val="00EF1DB2"/>
    <w:rsid w:val="00EF3666"/>
    <w:rsid w:val="00F15A2D"/>
    <w:rsid w:val="00F323EA"/>
    <w:rsid w:val="00F41580"/>
    <w:rsid w:val="00F61D75"/>
    <w:rsid w:val="00FA3882"/>
    <w:rsid w:val="00FB404F"/>
    <w:rsid w:val="00FC4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14:docId w14:val="36E9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link w:val="FooterAgencyCharChar"/>
    <w:semiHidden/>
    <w:rPr>
      <w:rFonts w:eastAsia="Verdana"/>
      <w:color w:val="6D6F71"/>
      <w:sz w:val="14"/>
      <w:szCs w:val="14"/>
      <w:lang w:eastAsia="en-GB"/>
    </w:rPr>
  </w:style>
  <w:style w:type="paragraph" w:customStyle="1" w:styleId="FooterblueAgency">
    <w:name w:val="Footer blue (Agency)"/>
    <w:basedOn w:val="Normal"/>
    <w:link w:val="FooterblueAgencyCharChar"/>
    <w:semiHidden/>
    <w:rPr>
      <w:rFonts w:eastAsia="Verdana"/>
      <w:b/>
      <w:color w:val="003399"/>
      <w:sz w:val="13"/>
      <w:szCs w:val="14"/>
      <w:lang w:eastAsia="en-GB"/>
    </w:rPr>
  </w:style>
  <w:style w:type="table" w:customStyle="1" w:styleId="FootertableAgency">
    <w:name w:val="Footer table (Agency)"/>
    <w:basedOn w:val="TableNormal"/>
    <w:semiHidden/>
    <w:rPr>
      <w:rFonts w:ascii="Verdana" w:hAnsi="Verdana"/>
    </w:rPr>
    <w:tblPr/>
    <w:tcPr>
      <w:shd w:val="clear" w:color="auto" w:fill="auto"/>
      <w:tcMar>
        <w:left w:w="0" w:type="dxa"/>
        <w:right w:w="0" w:type="dxa"/>
      </w:tcMar>
    </w:tcPr>
    <w:tblStylePr w:type="firstRow">
      <w:rPr>
        <w:rFonts w:ascii="@SimSun" w:hAnsi="@SimSu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Pr>
      <w:rFonts w:ascii="Verdana" w:hAnsi="Verdana"/>
      <w:sz w:val="18"/>
    </w:rPr>
    <w:tblPr/>
    <w:tcPr>
      <w:shd w:val="clear" w:color="auto" w:fill="auto"/>
    </w:tcPr>
    <w:tblStylePr w:type="firstRow">
      <w:rPr>
        <w:rFonts w:ascii="Calibri" w:hAnsi="Calibri"/>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pPr>
      <w:spacing w:after="140" w:line="280" w:lineRule="atLeast"/>
    </w:pPr>
  </w:style>
  <w:style w:type="paragraph" w:customStyle="1" w:styleId="BodytextAgency">
    <w:name w:val="Body text (Agency)"/>
    <w:basedOn w:val="Normal"/>
    <w:link w:val="BodytextAgencyChar"/>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No-numheading4Agency">
    <w:name w:val="No-num heading 4 (Agency)"/>
    <w:basedOn w:val="Heading4Agency"/>
    <w:next w:val="BodytextAgency"/>
    <w:semiHidden/>
    <w:pPr>
      <w:numPr>
        <w:ilvl w:val="0"/>
        <w:numId w:val="0"/>
      </w:numPr>
    </w:pPr>
  </w:style>
  <w:style w:type="paragraph" w:customStyle="1" w:styleId="No-numheading5Agency">
    <w:name w:val="No-num heading 5 (Agency)"/>
    <w:basedOn w:val="Heading5Agency"/>
    <w:next w:val="BodytextAgency"/>
    <w:semiHidden/>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12"/>
      </w:numPr>
    </w:p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table" w:customStyle="1" w:styleId="TablegridAgency">
    <w:name w:val="Table grid (Agency)"/>
    <w:basedOn w:val="TableNormal"/>
    <w:semiHidden/>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alibri" w:hAnsi="Calibri"/>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customStyle="1" w:styleId="BesuchterHyperlink1">
    <w:name w:val="BesuchterHyperlink1"/>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link w:val="DocsubtitleAgency"/>
    <w:rPr>
      <w:rFonts w:ascii="Verdana" w:eastAsia="Verdana" w:hAnsi="Verdana" w:cs="Verdana"/>
      <w:sz w:val="24"/>
      <w:szCs w:val="24"/>
      <w:lang w:val="en-GB" w:eastAsia="en-GB" w:bidi="ar-SA"/>
    </w:rPr>
  </w:style>
  <w:style w:type="character" w:customStyle="1" w:styleId="BodytextAgencyChar">
    <w:name w:val="Body text (Agency) Char"/>
    <w:link w:val="BodytextAgency"/>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character" w:customStyle="1" w:styleId="st1">
    <w:name w:val="st1"/>
    <w:rsid w:val="007E7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link w:val="FooterAgencyCharChar"/>
    <w:semiHidden/>
    <w:rPr>
      <w:rFonts w:eastAsia="Verdana"/>
      <w:color w:val="6D6F71"/>
      <w:sz w:val="14"/>
      <w:szCs w:val="14"/>
      <w:lang w:eastAsia="en-GB"/>
    </w:rPr>
  </w:style>
  <w:style w:type="paragraph" w:customStyle="1" w:styleId="FooterblueAgency">
    <w:name w:val="Footer blue (Agency)"/>
    <w:basedOn w:val="Normal"/>
    <w:link w:val="FooterblueAgencyCharChar"/>
    <w:semiHidden/>
    <w:rPr>
      <w:rFonts w:eastAsia="Verdana"/>
      <w:b/>
      <w:color w:val="003399"/>
      <w:sz w:val="13"/>
      <w:szCs w:val="14"/>
      <w:lang w:eastAsia="en-GB"/>
    </w:rPr>
  </w:style>
  <w:style w:type="table" w:customStyle="1" w:styleId="FootertableAgency">
    <w:name w:val="Footer table (Agency)"/>
    <w:basedOn w:val="TableNormal"/>
    <w:semiHidden/>
    <w:rPr>
      <w:rFonts w:ascii="Verdana" w:hAnsi="Verdana"/>
    </w:rPr>
    <w:tblPr/>
    <w:tcPr>
      <w:shd w:val="clear" w:color="auto" w:fill="auto"/>
      <w:tcMar>
        <w:left w:w="0" w:type="dxa"/>
        <w:right w:w="0" w:type="dxa"/>
      </w:tcMar>
    </w:tcPr>
    <w:tblStylePr w:type="firstRow">
      <w:rPr>
        <w:rFonts w:ascii="@SimSun" w:hAnsi="@SimSu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Pr>
      <w:rFonts w:ascii="Verdana" w:hAnsi="Verdana"/>
      <w:sz w:val="18"/>
    </w:rPr>
    <w:tblPr/>
    <w:tcPr>
      <w:shd w:val="clear" w:color="auto" w:fill="auto"/>
    </w:tcPr>
    <w:tblStylePr w:type="firstRow">
      <w:rPr>
        <w:rFonts w:ascii="Calibri" w:hAnsi="Calibri"/>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pPr>
      <w:spacing w:after="140" w:line="280" w:lineRule="atLeast"/>
    </w:pPr>
  </w:style>
  <w:style w:type="paragraph" w:customStyle="1" w:styleId="BodytextAgency">
    <w:name w:val="Body text (Agency)"/>
    <w:basedOn w:val="Normal"/>
    <w:link w:val="BodytextAgencyChar"/>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No-numheading4Agency">
    <w:name w:val="No-num heading 4 (Agency)"/>
    <w:basedOn w:val="Heading4Agency"/>
    <w:next w:val="BodytextAgency"/>
    <w:semiHidden/>
    <w:pPr>
      <w:numPr>
        <w:ilvl w:val="0"/>
        <w:numId w:val="0"/>
      </w:numPr>
    </w:pPr>
  </w:style>
  <w:style w:type="paragraph" w:customStyle="1" w:styleId="No-numheading5Agency">
    <w:name w:val="No-num heading 5 (Agency)"/>
    <w:basedOn w:val="Heading5Agency"/>
    <w:next w:val="BodytextAgency"/>
    <w:semiHidden/>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12"/>
      </w:numPr>
    </w:p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table" w:customStyle="1" w:styleId="TablegridAgency">
    <w:name w:val="Table grid (Agency)"/>
    <w:basedOn w:val="TableNormal"/>
    <w:semiHidden/>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alibri" w:hAnsi="Calibri"/>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customStyle="1" w:styleId="BesuchterHyperlink1">
    <w:name w:val="BesuchterHyperlink1"/>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link w:val="DocsubtitleAgency"/>
    <w:rPr>
      <w:rFonts w:ascii="Verdana" w:eastAsia="Verdana" w:hAnsi="Verdana" w:cs="Verdana"/>
      <w:sz w:val="24"/>
      <w:szCs w:val="24"/>
      <w:lang w:val="en-GB" w:eastAsia="en-GB" w:bidi="ar-SA"/>
    </w:rPr>
  </w:style>
  <w:style w:type="character" w:customStyle="1" w:styleId="BodytextAgencyChar">
    <w:name w:val="Body text (Agency) Char"/>
    <w:link w:val="BodytextAgency"/>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character" w:customStyle="1" w:styleId="st1">
    <w:name w:val="st1"/>
    <w:rsid w:val="007E7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3806</Words>
  <Characters>21139</Characters>
  <Application>Microsoft Office Word</Application>
  <DocSecurity>4</DocSecurity>
  <Lines>782</Lines>
  <Paragraphs>346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24599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christian.ullrich</dc:creator>
  <cp:lastModifiedBy>VERBEIREN Isabelle (SANCO)</cp:lastModifiedBy>
  <cp:revision>2</cp:revision>
  <dcterms:created xsi:type="dcterms:W3CDTF">2016-10-04T12:37:00Z</dcterms:created>
  <dcterms:modified xsi:type="dcterms:W3CDTF">2016-10-04T12:37:00Z</dcterms:modified>
</cp:coreProperties>
</file>