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FF" w:rsidRDefault="00144C17" w:rsidP="00072086">
      <w:pPr>
        <w:rPr>
          <w:b/>
        </w:rPr>
      </w:pPr>
      <w:bookmarkStart w:id="0" w:name="_GoBack"/>
      <w:bookmarkEnd w:id="0"/>
      <w:r w:rsidRPr="00144C17">
        <w:rPr>
          <w:b/>
        </w:rPr>
        <w:t>Consultation Document:</w:t>
      </w:r>
      <w:r w:rsidR="00823D6E">
        <w:rPr>
          <w:b/>
        </w:rPr>
        <w:t xml:space="preserve"> </w:t>
      </w:r>
      <w:r w:rsidR="004D6BDE" w:rsidRPr="00144C17">
        <w:rPr>
          <w:b/>
        </w:rPr>
        <w:t>GOOD MANUFACTURING PRACTICE FOR ADVANCED THERAPY MEDICINAL PRODUCTS</w:t>
      </w:r>
    </w:p>
    <w:p w:rsidR="00A31744" w:rsidRDefault="00A31744" w:rsidP="00072086">
      <w:pPr>
        <w:rPr>
          <w:b/>
        </w:rPr>
      </w:pPr>
      <w:r>
        <w:rPr>
          <w:b/>
        </w:rPr>
        <w:t>23 September 2016</w:t>
      </w:r>
    </w:p>
    <w:p w:rsidR="00823D6E" w:rsidRPr="00823D6E" w:rsidRDefault="00823D6E" w:rsidP="00072086">
      <w:pPr>
        <w:rPr>
          <w:b/>
        </w:rPr>
      </w:pPr>
      <w:r>
        <w:rPr>
          <w:b/>
        </w:rPr>
        <w:t>Submitted by:</w:t>
      </w:r>
    </w:p>
    <w:p w:rsidR="00823D6E" w:rsidRDefault="00823D6E" w:rsidP="00072086"/>
    <w:p w:rsidR="00144C17" w:rsidRPr="003953F5" w:rsidRDefault="00F27C0A" w:rsidP="00DB0822">
      <w:pPr>
        <w:ind w:left="4320" w:firstLine="720"/>
        <w:rPr>
          <w:b/>
          <w:color w:val="0000FF"/>
        </w:rPr>
      </w:pPr>
      <w:r w:rsidRPr="003953F5">
        <w:rPr>
          <w:b/>
          <w:color w:val="0000FF"/>
        </w:rPr>
        <w:t>PPD Global Ltd.</w:t>
      </w:r>
    </w:p>
    <w:p w:rsidR="006C17B0" w:rsidRPr="003953F5" w:rsidRDefault="006C17B0" w:rsidP="00DB0822">
      <w:pPr>
        <w:ind w:left="4320" w:firstLine="720"/>
        <w:rPr>
          <w:b/>
          <w:color w:val="0000FF"/>
        </w:rPr>
      </w:pPr>
      <w:r w:rsidRPr="003953F5">
        <w:rPr>
          <w:b/>
          <w:color w:val="0000FF"/>
        </w:rPr>
        <w:t>Granta Park</w:t>
      </w:r>
    </w:p>
    <w:p w:rsidR="006C17B0" w:rsidRPr="003953F5" w:rsidRDefault="006C17B0" w:rsidP="00DB0822">
      <w:pPr>
        <w:ind w:left="4320" w:firstLine="720"/>
        <w:rPr>
          <w:b/>
          <w:color w:val="0000FF"/>
        </w:rPr>
      </w:pPr>
      <w:r w:rsidRPr="003953F5">
        <w:rPr>
          <w:b/>
          <w:color w:val="0000FF"/>
        </w:rPr>
        <w:t>Great Abington</w:t>
      </w:r>
    </w:p>
    <w:p w:rsidR="00B44022" w:rsidRPr="003953F5" w:rsidRDefault="00B44022" w:rsidP="00DB0822">
      <w:pPr>
        <w:ind w:left="4320" w:firstLine="720"/>
        <w:rPr>
          <w:b/>
          <w:color w:val="0000FF"/>
        </w:rPr>
      </w:pPr>
      <w:r w:rsidRPr="003953F5">
        <w:rPr>
          <w:b/>
          <w:color w:val="0000FF"/>
        </w:rPr>
        <w:t>Cambridge CB21 6GQ</w:t>
      </w:r>
    </w:p>
    <w:p w:rsidR="0009125E" w:rsidRPr="003953F5" w:rsidRDefault="004052FF" w:rsidP="00DB0822">
      <w:pPr>
        <w:ind w:left="4320" w:firstLine="720"/>
        <w:rPr>
          <w:b/>
          <w:color w:val="0000FF"/>
        </w:rPr>
      </w:pPr>
      <w:r w:rsidRPr="003953F5">
        <w:rPr>
          <w:b/>
          <w:color w:val="0000FF"/>
        </w:rPr>
        <w:t>United Kingdom</w:t>
      </w:r>
    </w:p>
    <w:p w:rsidR="0009125E" w:rsidRDefault="0009125E" w:rsidP="00823D6E">
      <w:pPr>
        <w:ind w:left="4320" w:firstLine="720"/>
        <w:rPr>
          <w:b/>
          <w:color w:val="0000FF"/>
        </w:rPr>
      </w:pPr>
      <w:r w:rsidRPr="003953F5">
        <w:rPr>
          <w:b/>
          <w:i/>
          <w:color w:val="0000FF"/>
          <w:u w:val="single"/>
        </w:rPr>
        <w:t>Activities</w:t>
      </w:r>
      <w:r w:rsidRPr="003953F5">
        <w:rPr>
          <w:b/>
          <w:color w:val="0000FF"/>
        </w:rPr>
        <w:t>: Clinical Research Organisation</w:t>
      </w:r>
    </w:p>
    <w:p w:rsidR="00823D6E" w:rsidRPr="00823D6E" w:rsidRDefault="00823D6E" w:rsidP="00823D6E">
      <w:pPr>
        <w:ind w:left="4320" w:firstLine="720"/>
        <w:rPr>
          <w:b/>
          <w:color w:val="0000FF"/>
        </w:rPr>
      </w:pPr>
    </w:p>
    <w:p w:rsidR="00F27C0A" w:rsidRDefault="00F27C0A" w:rsidP="00AF29A1">
      <w:pPr>
        <w:jc w:val="both"/>
      </w:pPr>
      <w:r>
        <w:t>Dear Sir/Madam,</w:t>
      </w:r>
    </w:p>
    <w:p w:rsidR="00F27C0A" w:rsidRDefault="00F27C0A" w:rsidP="00AF29A1">
      <w:pPr>
        <w:jc w:val="both"/>
      </w:pPr>
      <w:r>
        <w:t xml:space="preserve">Please find below comments from the Advanced Therapy Forum </w:t>
      </w:r>
      <w:r w:rsidR="00AF29A1">
        <w:t xml:space="preserve">on behalf of </w:t>
      </w:r>
      <w:r>
        <w:t xml:space="preserve">PPD on the </w:t>
      </w:r>
      <w:r w:rsidR="00D82A51">
        <w:t xml:space="preserve">targeted stakeholder </w:t>
      </w:r>
      <w:r>
        <w:t xml:space="preserve">consultation on </w:t>
      </w:r>
      <w:r w:rsidR="00D82A51">
        <w:t xml:space="preserve">the draft Guidelines on </w:t>
      </w:r>
      <w:r>
        <w:t xml:space="preserve">Good Manufacturing Practice for Advanced </w:t>
      </w:r>
      <w:r w:rsidR="00AF29A1">
        <w:t>T</w:t>
      </w:r>
      <w:r>
        <w:t>herapy Medicinal Products</w:t>
      </w:r>
      <w:r w:rsidR="00AF29A1">
        <w:t>.</w:t>
      </w:r>
    </w:p>
    <w:p w:rsidR="00AF29A1" w:rsidRDefault="00AF29A1" w:rsidP="00AF29A1">
      <w:pPr>
        <w:jc w:val="both"/>
      </w:pPr>
      <w:r>
        <w:t xml:space="preserve">PPD does not fall within the EU definition of a small </w:t>
      </w:r>
      <w:r w:rsidR="003A5F35">
        <w:t>and</w:t>
      </w:r>
      <w:r>
        <w:t xml:space="preserve"> medium-sized enterprise and currently is not registered in the Transparency Register.</w:t>
      </w:r>
    </w:p>
    <w:p w:rsidR="00AF29A1" w:rsidRDefault="00D45F62" w:rsidP="00AF29A1">
      <w:pPr>
        <w:jc w:val="both"/>
      </w:pPr>
      <w:r>
        <w:t xml:space="preserve">The table below only lists the sections </w:t>
      </w:r>
      <w:r w:rsidR="006C17B0">
        <w:t xml:space="preserve">for which comments are provided. Lines in the consultation document to which the comments are related </w:t>
      </w:r>
      <w:r w:rsidR="003A5F35">
        <w:t xml:space="preserve">to </w:t>
      </w:r>
      <w:r w:rsidR="006C17B0">
        <w:t xml:space="preserve">are </w:t>
      </w:r>
      <w:r>
        <w:t>included</w:t>
      </w:r>
      <w:r w:rsidR="005C755D">
        <w:t xml:space="preserve"> </w:t>
      </w:r>
      <w:r w:rsidR="006C17B0">
        <w:t>for clarity purposes.</w:t>
      </w:r>
    </w:p>
    <w:p w:rsidR="00AF29A1" w:rsidRDefault="00AF29A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7693"/>
      </w:tblGrid>
      <w:tr w:rsidR="004C0689" w:rsidTr="00DA44AB">
        <w:tc>
          <w:tcPr>
            <w:tcW w:w="9242" w:type="dxa"/>
            <w:gridSpan w:val="2"/>
            <w:shd w:val="clear" w:color="auto" w:fill="CC99FF"/>
          </w:tcPr>
          <w:p w:rsidR="004C0689" w:rsidRPr="00DA44AB" w:rsidRDefault="004C0689" w:rsidP="0009125E">
            <w:pPr>
              <w:rPr>
                <w:b/>
              </w:rPr>
            </w:pPr>
            <w:r>
              <w:rPr>
                <w:b/>
              </w:rPr>
              <w:lastRenderedPageBreak/>
              <w:t>1. Introduction</w:t>
            </w:r>
          </w:p>
        </w:tc>
      </w:tr>
      <w:tr w:rsidR="004C0689" w:rsidTr="004C0689">
        <w:tc>
          <w:tcPr>
            <w:tcW w:w="1549" w:type="dxa"/>
            <w:shd w:val="clear" w:color="auto" w:fill="auto"/>
          </w:tcPr>
          <w:p w:rsidR="004C0689" w:rsidRPr="004C0689" w:rsidRDefault="004C0689" w:rsidP="0009125E">
            <w:r w:rsidRPr="004C0689">
              <w:t>Line 103</w:t>
            </w:r>
          </w:p>
        </w:tc>
        <w:tc>
          <w:tcPr>
            <w:tcW w:w="7693" w:type="dxa"/>
            <w:shd w:val="clear" w:color="auto" w:fill="auto"/>
          </w:tcPr>
          <w:p w:rsidR="004C0689" w:rsidRPr="004C0689" w:rsidRDefault="007754F2" w:rsidP="0009125E">
            <w:r>
              <w:t>Include reference to MA Holder and Clinical Trial Sponsor as well as the manufacturer in relation to ATMP manufacture and pharmaceutical quality system.</w:t>
            </w:r>
          </w:p>
        </w:tc>
      </w:tr>
      <w:tr w:rsidR="00DA44AB" w:rsidTr="00DA44AB">
        <w:tc>
          <w:tcPr>
            <w:tcW w:w="9242" w:type="dxa"/>
            <w:gridSpan w:val="2"/>
            <w:shd w:val="clear" w:color="auto" w:fill="CC99FF"/>
          </w:tcPr>
          <w:p w:rsidR="00DA44AB" w:rsidRPr="00DA44AB" w:rsidRDefault="00DA44AB" w:rsidP="0009125E">
            <w:pPr>
              <w:rPr>
                <w:b/>
              </w:rPr>
            </w:pPr>
            <w:r w:rsidRPr="00DA44AB">
              <w:rPr>
                <w:b/>
              </w:rPr>
              <w:t>2. Risk-based approach</w:t>
            </w:r>
          </w:p>
        </w:tc>
      </w:tr>
      <w:tr w:rsidR="00450FB5" w:rsidTr="00450FB5">
        <w:tc>
          <w:tcPr>
            <w:tcW w:w="9242" w:type="dxa"/>
            <w:gridSpan w:val="2"/>
            <w:shd w:val="clear" w:color="auto" w:fill="CC99FF"/>
          </w:tcPr>
          <w:p w:rsidR="00450FB5" w:rsidRPr="00624B31" w:rsidRDefault="00450FB5" w:rsidP="00450FB5">
            <w:r w:rsidRPr="00624B31">
              <w:t>2.2. Application of the risk based approach by ATMP manufacturers</w:t>
            </w:r>
          </w:p>
        </w:tc>
      </w:tr>
      <w:tr w:rsidR="00BA1A25" w:rsidTr="000736F3">
        <w:tc>
          <w:tcPr>
            <w:tcW w:w="1549" w:type="dxa"/>
          </w:tcPr>
          <w:p w:rsidR="00BA1A25" w:rsidRDefault="00BA1A25" w:rsidP="0009125E">
            <w:r>
              <w:t>Line 172</w:t>
            </w:r>
          </w:p>
        </w:tc>
        <w:tc>
          <w:tcPr>
            <w:tcW w:w="7693" w:type="dxa"/>
          </w:tcPr>
          <w:p w:rsidR="00BA1A25" w:rsidRDefault="00BA1A25" w:rsidP="00E36DA5">
            <w:r>
              <w:t>Include reference to MA Holder and Clinical Trial Sponsor as well as the manufacturer in relation to ATMP manufacture and pharmaceutical quality system.</w:t>
            </w:r>
          </w:p>
        </w:tc>
      </w:tr>
      <w:tr w:rsidR="001D5048" w:rsidTr="000736F3">
        <w:tc>
          <w:tcPr>
            <w:tcW w:w="1549" w:type="dxa"/>
          </w:tcPr>
          <w:p w:rsidR="001D5048" w:rsidRDefault="00EA5F37" w:rsidP="0009125E">
            <w:r>
              <w:t xml:space="preserve">Line </w:t>
            </w:r>
            <w:r w:rsidR="001D5048">
              <w:t>177</w:t>
            </w:r>
          </w:p>
        </w:tc>
        <w:tc>
          <w:tcPr>
            <w:tcW w:w="7693" w:type="dxa"/>
          </w:tcPr>
          <w:p w:rsidR="001D5048" w:rsidRDefault="001D5048" w:rsidP="00E36DA5">
            <w:r>
              <w:t xml:space="preserve">It should be </w:t>
            </w:r>
            <w:r w:rsidR="00E36DA5">
              <w:t>specified</w:t>
            </w:r>
            <w:r>
              <w:t xml:space="preserve"> that the additional measures to be put in place to address the specific risks of the product or the manufacturing process should be documented in the form of a risk assessment</w:t>
            </w:r>
            <w:r w:rsidR="00BF1E82">
              <w:t>.</w:t>
            </w:r>
          </w:p>
        </w:tc>
      </w:tr>
      <w:tr w:rsidR="006C17B0" w:rsidTr="000736F3">
        <w:tc>
          <w:tcPr>
            <w:tcW w:w="1549" w:type="dxa"/>
          </w:tcPr>
          <w:p w:rsidR="006C17B0" w:rsidRDefault="00EA5F37" w:rsidP="0009125E">
            <w:r>
              <w:t xml:space="preserve">Lines </w:t>
            </w:r>
            <w:r w:rsidR="00C520C4">
              <w:t>191-197</w:t>
            </w:r>
          </w:p>
        </w:tc>
        <w:tc>
          <w:tcPr>
            <w:tcW w:w="7693" w:type="dxa"/>
          </w:tcPr>
          <w:p w:rsidR="00F7645B" w:rsidRDefault="00F7645B" w:rsidP="00420179">
            <w:r>
              <w:t>When considering the risk based approach</w:t>
            </w:r>
            <w:r w:rsidR="00C520C4">
              <w:t>, all the parties involved should be informed – it should be specified that 3</w:t>
            </w:r>
            <w:r w:rsidR="00C520C4" w:rsidRPr="00C520C4">
              <w:rPr>
                <w:vertAlign w:val="superscript"/>
              </w:rPr>
              <w:t>rd</w:t>
            </w:r>
            <w:r w:rsidR="00C520C4">
              <w:t xml:space="preserve"> party vendors need to be aware of the measures put in place by having access to the risk assessments. The full supply chain should be aware of the strategy </w:t>
            </w:r>
            <w:r w:rsidR="00420179">
              <w:t>designed</w:t>
            </w:r>
            <w:r w:rsidR="0055103A">
              <w:t xml:space="preserve"> (from bench to bedside)</w:t>
            </w:r>
            <w:r w:rsidR="00BF1E82">
              <w:t>.</w:t>
            </w:r>
          </w:p>
        </w:tc>
      </w:tr>
      <w:tr w:rsidR="00450FB5" w:rsidTr="0004371C">
        <w:tc>
          <w:tcPr>
            <w:tcW w:w="9242" w:type="dxa"/>
            <w:gridSpan w:val="2"/>
            <w:shd w:val="clear" w:color="auto" w:fill="CC99FF"/>
          </w:tcPr>
          <w:p w:rsidR="00450FB5" w:rsidRPr="00624B31" w:rsidRDefault="00450FB5" w:rsidP="0009125E">
            <w:pPr>
              <w:rPr>
                <w:i/>
              </w:rPr>
            </w:pPr>
            <w:r w:rsidRPr="00624B31">
              <w:rPr>
                <w:i/>
              </w:rPr>
              <w:t>2.3.4. Additional considerations specifically relevant for investigational ATMPs</w:t>
            </w:r>
          </w:p>
        </w:tc>
      </w:tr>
      <w:tr w:rsidR="006C17B0" w:rsidTr="000736F3">
        <w:tc>
          <w:tcPr>
            <w:tcW w:w="1549" w:type="dxa"/>
          </w:tcPr>
          <w:p w:rsidR="006C17B0" w:rsidRDefault="00EA5F37" w:rsidP="00AC3AB1">
            <w:r>
              <w:t xml:space="preserve">Lines </w:t>
            </w:r>
            <w:r w:rsidR="00890C51">
              <w:t>32</w:t>
            </w:r>
            <w:r w:rsidR="00AC3AB1">
              <w:t>0-321</w:t>
            </w:r>
          </w:p>
        </w:tc>
        <w:tc>
          <w:tcPr>
            <w:tcW w:w="7693" w:type="dxa"/>
          </w:tcPr>
          <w:p w:rsidR="006C17B0" w:rsidRDefault="00AC3AB1" w:rsidP="00AC3AB1">
            <w:r>
              <w:t>It would be he</w:t>
            </w:r>
            <w:r w:rsidR="00890C51">
              <w:t>lpful to have</w:t>
            </w:r>
            <w:r>
              <w:t xml:space="preserve"> a </w:t>
            </w:r>
            <w:r w:rsidR="00890C51">
              <w:t>list of</w:t>
            </w:r>
            <w:r>
              <w:t xml:space="preserve"> acceptable</w:t>
            </w:r>
            <w:r w:rsidR="00890C51">
              <w:t xml:space="preserve"> flexibilit</w:t>
            </w:r>
            <w:r>
              <w:t xml:space="preserve">ies </w:t>
            </w:r>
            <w:r w:rsidR="00890C51">
              <w:t>for early stage</w:t>
            </w:r>
            <w:r>
              <w:t>s</w:t>
            </w:r>
            <w:r w:rsidR="00890C51">
              <w:t xml:space="preserve"> of development</w:t>
            </w:r>
            <w:r w:rsidR="00C6425C">
              <w:t>.</w:t>
            </w:r>
          </w:p>
        </w:tc>
      </w:tr>
      <w:tr w:rsidR="008437FD" w:rsidTr="000736F3">
        <w:tc>
          <w:tcPr>
            <w:tcW w:w="1549" w:type="dxa"/>
          </w:tcPr>
          <w:p w:rsidR="008437FD" w:rsidRDefault="00EA5F37" w:rsidP="0009125E">
            <w:r>
              <w:t xml:space="preserve">Line </w:t>
            </w:r>
            <w:r w:rsidR="008437FD">
              <w:t>322</w:t>
            </w:r>
          </w:p>
        </w:tc>
        <w:tc>
          <w:tcPr>
            <w:tcW w:w="7693" w:type="dxa"/>
          </w:tcPr>
          <w:p w:rsidR="008437FD" w:rsidRDefault="00AC3AB1" w:rsidP="00AC3AB1">
            <w:r>
              <w:t>For this example, it should be indicated that the risk-analysis study should indicate an increased amount and frequency of environmental monitoring and cleaning. It should also include increased cleaning validation studies and room decontamination</w:t>
            </w:r>
            <w:r w:rsidR="00C6425C">
              <w:t>.</w:t>
            </w:r>
          </w:p>
        </w:tc>
      </w:tr>
      <w:tr w:rsidR="008437FD" w:rsidTr="000736F3">
        <w:tc>
          <w:tcPr>
            <w:tcW w:w="1549" w:type="dxa"/>
          </w:tcPr>
          <w:p w:rsidR="008437FD" w:rsidRDefault="00EA5F37" w:rsidP="0009125E">
            <w:r>
              <w:t xml:space="preserve">Line </w:t>
            </w:r>
            <w:r w:rsidR="008437FD">
              <w:t>328</w:t>
            </w:r>
          </w:p>
        </w:tc>
        <w:tc>
          <w:tcPr>
            <w:tcW w:w="7693" w:type="dxa"/>
          </w:tcPr>
          <w:p w:rsidR="008437FD" w:rsidRDefault="00215F1C" w:rsidP="00215F1C">
            <w:r>
              <w:t>For e</w:t>
            </w:r>
            <w:r w:rsidR="008437FD">
              <w:t>quipment not used frequently</w:t>
            </w:r>
            <w:r>
              <w:t>, the risk assessment should include steps like short performance qualification or performance tests prior to use</w:t>
            </w:r>
            <w:r w:rsidR="00C6425C">
              <w:t>.</w:t>
            </w:r>
          </w:p>
        </w:tc>
      </w:tr>
      <w:tr w:rsidR="00D318F1" w:rsidTr="00447B8D">
        <w:tc>
          <w:tcPr>
            <w:tcW w:w="9242" w:type="dxa"/>
            <w:gridSpan w:val="2"/>
            <w:shd w:val="clear" w:color="auto" w:fill="CC99FF"/>
          </w:tcPr>
          <w:p w:rsidR="00D318F1" w:rsidRPr="00D318F1" w:rsidRDefault="00D318F1" w:rsidP="0009125E">
            <w:pPr>
              <w:rPr>
                <w:b/>
              </w:rPr>
            </w:pPr>
            <w:r w:rsidRPr="00D318F1">
              <w:rPr>
                <w:b/>
              </w:rPr>
              <w:t>3. Personnel</w:t>
            </w:r>
          </w:p>
        </w:tc>
      </w:tr>
      <w:tr w:rsidR="00447B8D" w:rsidTr="00447B8D">
        <w:tc>
          <w:tcPr>
            <w:tcW w:w="9242" w:type="dxa"/>
            <w:gridSpan w:val="2"/>
            <w:shd w:val="clear" w:color="auto" w:fill="CC99FF"/>
          </w:tcPr>
          <w:p w:rsidR="00447B8D" w:rsidRDefault="00447B8D" w:rsidP="0009125E">
            <w:r>
              <w:t>3.2. Training</w:t>
            </w:r>
          </w:p>
        </w:tc>
      </w:tr>
      <w:tr w:rsidR="00FA06F0" w:rsidTr="000736F3">
        <w:tc>
          <w:tcPr>
            <w:tcW w:w="1549" w:type="dxa"/>
          </w:tcPr>
          <w:p w:rsidR="00FA06F0" w:rsidRDefault="009D6D8A" w:rsidP="00DF4A48">
            <w:r>
              <w:t xml:space="preserve">Line </w:t>
            </w:r>
            <w:r w:rsidR="00FA06F0">
              <w:t>35</w:t>
            </w:r>
            <w:r w:rsidR="00DF4A48">
              <w:t>2</w:t>
            </w:r>
          </w:p>
        </w:tc>
        <w:tc>
          <w:tcPr>
            <w:tcW w:w="7693" w:type="dxa"/>
          </w:tcPr>
          <w:p w:rsidR="00FA06F0" w:rsidRDefault="00DF4A48" w:rsidP="00C60ABD">
            <w:r>
              <w:t>Required training should be flexible and aligned with the risk-based approach, depending on batch size and shortage of materials</w:t>
            </w:r>
            <w:r w:rsidR="00C60ABD">
              <w:t>. The possibility of concurrent training validation and competency could be added (related to line 1601)</w:t>
            </w:r>
            <w:r w:rsidR="00E86B1B">
              <w:t>.</w:t>
            </w:r>
          </w:p>
        </w:tc>
      </w:tr>
      <w:tr w:rsidR="006C17B0" w:rsidTr="000736F3">
        <w:tc>
          <w:tcPr>
            <w:tcW w:w="1549" w:type="dxa"/>
          </w:tcPr>
          <w:p w:rsidR="006C17B0" w:rsidRDefault="009D6D8A" w:rsidP="0009125E">
            <w:r>
              <w:t xml:space="preserve">Lines </w:t>
            </w:r>
            <w:r w:rsidR="00EF1795">
              <w:t>359-360</w:t>
            </w:r>
          </w:p>
        </w:tc>
        <w:tc>
          <w:tcPr>
            <w:tcW w:w="7693" w:type="dxa"/>
          </w:tcPr>
          <w:p w:rsidR="00EF1795" w:rsidRDefault="00EF1795" w:rsidP="009D6D8A">
            <w:r>
              <w:t>Reference should be made to product GMO risk assessment and applicable environmental agency approval for product manipulation</w:t>
            </w:r>
            <w:r w:rsidR="00E86B1B">
              <w:t>.</w:t>
            </w:r>
          </w:p>
        </w:tc>
      </w:tr>
      <w:tr w:rsidR="00F03FFC" w:rsidTr="00F03FFC">
        <w:tc>
          <w:tcPr>
            <w:tcW w:w="9242" w:type="dxa"/>
            <w:gridSpan w:val="2"/>
            <w:shd w:val="clear" w:color="auto" w:fill="CC99FF"/>
          </w:tcPr>
          <w:p w:rsidR="00F03FFC" w:rsidRDefault="00F03FFC" w:rsidP="0009125E">
            <w:r>
              <w:t>3.3. Hygiene</w:t>
            </w:r>
          </w:p>
        </w:tc>
      </w:tr>
      <w:tr w:rsidR="006C17B0" w:rsidTr="000736F3">
        <w:tc>
          <w:tcPr>
            <w:tcW w:w="1549" w:type="dxa"/>
          </w:tcPr>
          <w:p w:rsidR="006C17B0" w:rsidRDefault="00045D1F" w:rsidP="0009125E">
            <w:r>
              <w:t xml:space="preserve">Lines </w:t>
            </w:r>
            <w:r w:rsidR="003720D2">
              <w:t>402</w:t>
            </w:r>
            <w:r>
              <w:t>-408</w:t>
            </w:r>
          </w:p>
        </w:tc>
        <w:tc>
          <w:tcPr>
            <w:tcW w:w="7693" w:type="dxa"/>
          </w:tcPr>
          <w:p w:rsidR="00FA5C52" w:rsidRDefault="00FA5C52" w:rsidP="00045D1F">
            <w:r>
              <w:t>Flexibility in requirements should be dictated by environmental monitoring trends</w:t>
            </w:r>
            <w:r w:rsidR="00045D1F">
              <w:t xml:space="preserve"> and should be justified and documented</w:t>
            </w:r>
            <w:r w:rsidR="00E86B1B">
              <w:t>.</w:t>
            </w:r>
          </w:p>
        </w:tc>
      </w:tr>
      <w:tr w:rsidR="008058BA" w:rsidTr="0040511C">
        <w:tc>
          <w:tcPr>
            <w:tcW w:w="9242" w:type="dxa"/>
            <w:gridSpan w:val="2"/>
            <w:shd w:val="clear" w:color="auto" w:fill="CC99FF"/>
          </w:tcPr>
          <w:p w:rsidR="008058BA" w:rsidRPr="008058BA" w:rsidRDefault="008058BA" w:rsidP="0009125E">
            <w:pPr>
              <w:rPr>
                <w:b/>
              </w:rPr>
            </w:pPr>
            <w:r w:rsidRPr="008058BA">
              <w:rPr>
                <w:b/>
              </w:rPr>
              <w:t>4. Premises</w:t>
            </w:r>
          </w:p>
        </w:tc>
      </w:tr>
      <w:tr w:rsidR="00F03FFC" w:rsidTr="0040511C">
        <w:tc>
          <w:tcPr>
            <w:tcW w:w="9242" w:type="dxa"/>
            <w:gridSpan w:val="2"/>
            <w:shd w:val="clear" w:color="auto" w:fill="CC99FF"/>
          </w:tcPr>
          <w:p w:rsidR="00F03FFC" w:rsidRDefault="00F03FFC" w:rsidP="0009125E">
            <w:r>
              <w:t>4.2. Production areas</w:t>
            </w:r>
          </w:p>
        </w:tc>
      </w:tr>
      <w:tr w:rsidR="00F03FFC" w:rsidTr="000069D7">
        <w:tc>
          <w:tcPr>
            <w:tcW w:w="9242" w:type="dxa"/>
            <w:gridSpan w:val="2"/>
            <w:shd w:val="clear" w:color="auto" w:fill="CC99FF"/>
          </w:tcPr>
          <w:p w:rsidR="00F03FFC" w:rsidRPr="003E4011" w:rsidRDefault="00F03FFC" w:rsidP="0009125E">
            <w:pPr>
              <w:rPr>
                <w:i/>
              </w:rPr>
            </w:pPr>
            <w:r w:rsidRPr="003E4011">
              <w:rPr>
                <w:i/>
              </w:rPr>
              <w:t>4.2.1. Design and construction</w:t>
            </w:r>
          </w:p>
        </w:tc>
      </w:tr>
      <w:tr w:rsidR="006C17B0" w:rsidTr="000736F3">
        <w:tc>
          <w:tcPr>
            <w:tcW w:w="1549" w:type="dxa"/>
          </w:tcPr>
          <w:p w:rsidR="006C17B0" w:rsidRDefault="00602A20" w:rsidP="0009125E">
            <w:r>
              <w:t xml:space="preserve">Lines </w:t>
            </w:r>
            <w:r w:rsidR="00482E4C">
              <w:t>461-465</w:t>
            </w:r>
          </w:p>
        </w:tc>
        <w:tc>
          <w:tcPr>
            <w:tcW w:w="7693" w:type="dxa"/>
          </w:tcPr>
          <w:p w:rsidR="006C17B0" w:rsidRDefault="00602A20" w:rsidP="00602A20">
            <w:r>
              <w:t xml:space="preserve">It needs to be included that his approach needs to be </w:t>
            </w:r>
            <w:r w:rsidR="00482E4C">
              <w:t>supported by a risk assessment and the implementations of appropriate control mechanisms</w:t>
            </w:r>
            <w:r w:rsidR="00512EA8">
              <w:t>.</w:t>
            </w:r>
          </w:p>
        </w:tc>
      </w:tr>
      <w:tr w:rsidR="006C17B0" w:rsidTr="000736F3">
        <w:tc>
          <w:tcPr>
            <w:tcW w:w="1549" w:type="dxa"/>
          </w:tcPr>
          <w:p w:rsidR="006C17B0" w:rsidRDefault="00286872" w:rsidP="0009125E">
            <w:r>
              <w:t xml:space="preserve">Lines </w:t>
            </w:r>
            <w:r w:rsidR="00482E4C">
              <w:t>472-474</w:t>
            </w:r>
          </w:p>
        </w:tc>
        <w:tc>
          <w:tcPr>
            <w:tcW w:w="7693" w:type="dxa"/>
          </w:tcPr>
          <w:p w:rsidR="006C17B0" w:rsidRDefault="00286872" w:rsidP="00210208">
            <w:r>
              <w:t xml:space="preserve">The thorough cleaning and </w:t>
            </w:r>
            <w:r w:rsidR="00210208">
              <w:t>decontamination procedure</w:t>
            </w:r>
            <w:r>
              <w:t xml:space="preserve"> should also be supported by a risk assessment</w:t>
            </w:r>
            <w:r w:rsidR="00954CF8">
              <w:t xml:space="preserve"> based on ATMP type</w:t>
            </w:r>
            <w:r w:rsidR="00512EA8">
              <w:t>.</w:t>
            </w:r>
          </w:p>
        </w:tc>
      </w:tr>
      <w:tr w:rsidR="00225C02" w:rsidTr="00225C02">
        <w:tc>
          <w:tcPr>
            <w:tcW w:w="9242" w:type="dxa"/>
            <w:gridSpan w:val="2"/>
            <w:shd w:val="clear" w:color="auto" w:fill="CC99FF"/>
          </w:tcPr>
          <w:p w:rsidR="00225C02" w:rsidRPr="001E5A29" w:rsidRDefault="00225C02" w:rsidP="0009125E">
            <w:pPr>
              <w:rPr>
                <w:i/>
              </w:rPr>
            </w:pPr>
            <w:r w:rsidRPr="001E5A29">
              <w:rPr>
                <w:i/>
              </w:rPr>
              <w:t>4.2.2. Aseptic environment</w:t>
            </w:r>
          </w:p>
        </w:tc>
      </w:tr>
      <w:tr w:rsidR="0027100C" w:rsidTr="000736F3">
        <w:tc>
          <w:tcPr>
            <w:tcW w:w="1549" w:type="dxa"/>
          </w:tcPr>
          <w:p w:rsidR="0027100C" w:rsidRDefault="001E5A29" w:rsidP="0009125E">
            <w:r>
              <w:t xml:space="preserve">Lines </w:t>
            </w:r>
            <w:r w:rsidR="0027100C">
              <w:t>525</w:t>
            </w:r>
            <w:r>
              <w:t>-526</w:t>
            </w:r>
          </w:p>
        </w:tc>
        <w:tc>
          <w:tcPr>
            <w:tcW w:w="7693" w:type="dxa"/>
          </w:tcPr>
          <w:p w:rsidR="0027100C" w:rsidRDefault="001E5A29" w:rsidP="001E5A29">
            <w:r>
              <w:t>Add flexibility for filling in clean room of grade A with a background clean room of grade C, provided that proportionate controls and environmental monitoring are included in an extensive risk-assessment during the filling qualification phase</w:t>
            </w:r>
            <w:r w:rsidR="00512EA8">
              <w:t>.</w:t>
            </w:r>
          </w:p>
        </w:tc>
      </w:tr>
      <w:tr w:rsidR="00225C02" w:rsidTr="00EB6279">
        <w:tc>
          <w:tcPr>
            <w:tcW w:w="9242" w:type="dxa"/>
            <w:gridSpan w:val="2"/>
            <w:shd w:val="clear" w:color="auto" w:fill="CC99FF"/>
          </w:tcPr>
          <w:p w:rsidR="00225C02" w:rsidRPr="001F5DC4" w:rsidRDefault="00225C02" w:rsidP="0009125E">
            <w:pPr>
              <w:rPr>
                <w:i/>
              </w:rPr>
            </w:pPr>
            <w:r w:rsidRPr="001F5DC4">
              <w:rPr>
                <w:i/>
              </w:rPr>
              <w:t>4.2.3. Environmental monitoring</w:t>
            </w:r>
          </w:p>
        </w:tc>
      </w:tr>
      <w:tr w:rsidR="00750C1E" w:rsidTr="000736F3">
        <w:tc>
          <w:tcPr>
            <w:tcW w:w="1549" w:type="dxa"/>
          </w:tcPr>
          <w:p w:rsidR="00750C1E" w:rsidRDefault="001F5DC4" w:rsidP="0009125E">
            <w:r>
              <w:t xml:space="preserve">Lines </w:t>
            </w:r>
            <w:r w:rsidR="00750C1E">
              <w:t>549</w:t>
            </w:r>
            <w:r w:rsidR="00D4349B">
              <w:t xml:space="preserve"> and 593</w:t>
            </w:r>
          </w:p>
        </w:tc>
        <w:tc>
          <w:tcPr>
            <w:tcW w:w="7693" w:type="dxa"/>
          </w:tcPr>
          <w:p w:rsidR="00750C1E" w:rsidRDefault="001F5DC4" w:rsidP="001F5DC4">
            <w:r>
              <w:t xml:space="preserve">An additional factor to be taken into account to determine the frequency of monitoring is the criticality of the procedures/manipulations that take place during </w:t>
            </w:r>
            <w:r>
              <w:lastRenderedPageBreak/>
              <w:t>the manufacturing process (higher frequency of monitoring for more critical steps)</w:t>
            </w:r>
            <w:r w:rsidR="00512EA8">
              <w:t>.</w:t>
            </w:r>
          </w:p>
        </w:tc>
      </w:tr>
      <w:tr w:rsidR="00D4349B" w:rsidTr="000736F3">
        <w:tc>
          <w:tcPr>
            <w:tcW w:w="1549" w:type="dxa"/>
          </w:tcPr>
          <w:p w:rsidR="00D4349B" w:rsidRDefault="00060FA1" w:rsidP="0009125E">
            <w:r>
              <w:lastRenderedPageBreak/>
              <w:t xml:space="preserve">Line </w:t>
            </w:r>
            <w:r w:rsidR="00D4349B">
              <w:t>603</w:t>
            </w:r>
          </w:p>
        </w:tc>
        <w:tc>
          <w:tcPr>
            <w:tcW w:w="7693" w:type="dxa"/>
          </w:tcPr>
          <w:p w:rsidR="00D4349B" w:rsidRDefault="00060FA1" w:rsidP="00060FA1">
            <w:r>
              <w:t>Indicate level of excess of the limit to trigger different actions: from excursion review to formal investigation and CAPA plans</w:t>
            </w:r>
            <w:r w:rsidR="00512EA8">
              <w:t>.</w:t>
            </w:r>
          </w:p>
        </w:tc>
      </w:tr>
      <w:tr w:rsidR="00324879" w:rsidTr="00324879">
        <w:tc>
          <w:tcPr>
            <w:tcW w:w="9242" w:type="dxa"/>
            <w:gridSpan w:val="2"/>
            <w:shd w:val="clear" w:color="auto" w:fill="CC99FF"/>
          </w:tcPr>
          <w:p w:rsidR="00324879" w:rsidRDefault="00324879" w:rsidP="0009125E">
            <w:r>
              <w:t>4.4. Quality control areas</w:t>
            </w:r>
          </w:p>
        </w:tc>
      </w:tr>
      <w:tr w:rsidR="00B033A1" w:rsidTr="000736F3">
        <w:tc>
          <w:tcPr>
            <w:tcW w:w="1549" w:type="dxa"/>
          </w:tcPr>
          <w:p w:rsidR="00B033A1" w:rsidRDefault="00E05F07" w:rsidP="0009125E">
            <w:r>
              <w:t xml:space="preserve">Line </w:t>
            </w:r>
            <w:r w:rsidR="00B033A1">
              <w:t>638</w:t>
            </w:r>
          </w:p>
        </w:tc>
        <w:tc>
          <w:tcPr>
            <w:tcW w:w="7693" w:type="dxa"/>
          </w:tcPr>
          <w:p w:rsidR="00B033A1" w:rsidRDefault="00B033A1" w:rsidP="0009125E">
            <w:r>
              <w:t>Recommend to specify “Quality control laboratories” instead of “Control laboratories”</w:t>
            </w:r>
            <w:r w:rsidR="00512EA8">
              <w:t>.</w:t>
            </w:r>
          </w:p>
        </w:tc>
      </w:tr>
      <w:tr w:rsidR="00493FDB" w:rsidTr="00D5723F">
        <w:tc>
          <w:tcPr>
            <w:tcW w:w="9242" w:type="dxa"/>
            <w:gridSpan w:val="2"/>
            <w:shd w:val="clear" w:color="auto" w:fill="CC99FF"/>
          </w:tcPr>
          <w:p w:rsidR="00493FDB" w:rsidRDefault="00493FDB" w:rsidP="0009125E">
            <w:r>
              <w:t>4.5. Ancillary areas</w:t>
            </w:r>
          </w:p>
        </w:tc>
      </w:tr>
      <w:tr w:rsidR="006C17B0" w:rsidTr="000736F3">
        <w:tc>
          <w:tcPr>
            <w:tcW w:w="1549" w:type="dxa"/>
          </w:tcPr>
          <w:p w:rsidR="006C17B0" w:rsidRDefault="00E05F07" w:rsidP="0009125E">
            <w:r>
              <w:t xml:space="preserve">Lines </w:t>
            </w:r>
            <w:r w:rsidR="009942AB">
              <w:t>648-649</w:t>
            </w:r>
          </w:p>
        </w:tc>
        <w:tc>
          <w:tcPr>
            <w:tcW w:w="7693" w:type="dxa"/>
          </w:tcPr>
          <w:p w:rsidR="006C17B0" w:rsidRDefault="009942AB" w:rsidP="00E05F07">
            <w:r>
              <w:t xml:space="preserve">A restriction </w:t>
            </w:r>
            <w:r w:rsidR="00E05F07">
              <w:t>i</w:t>
            </w:r>
            <w:r>
              <w:t>n movement between facilities handling animals should be implemented based on a risk based approach</w:t>
            </w:r>
            <w:r w:rsidR="00512EA8">
              <w:t>.</w:t>
            </w:r>
          </w:p>
        </w:tc>
      </w:tr>
      <w:tr w:rsidR="00E05F07" w:rsidTr="005B409D">
        <w:tc>
          <w:tcPr>
            <w:tcW w:w="9242" w:type="dxa"/>
            <w:gridSpan w:val="2"/>
            <w:shd w:val="clear" w:color="auto" w:fill="CC99FF"/>
          </w:tcPr>
          <w:p w:rsidR="00E05F07" w:rsidRPr="00E05F07" w:rsidRDefault="00E05F07" w:rsidP="0009125E">
            <w:pPr>
              <w:rPr>
                <w:b/>
              </w:rPr>
            </w:pPr>
            <w:r w:rsidRPr="00E05F07">
              <w:rPr>
                <w:b/>
              </w:rPr>
              <w:t>5. Equipment</w:t>
            </w:r>
          </w:p>
        </w:tc>
      </w:tr>
      <w:tr w:rsidR="00447B8D" w:rsidTr="005B409D">
        <w:tc>
          <w:tcPr>
            <w:tcW w:w="9242" w:type="dxa"/>
            <w:gridSpan w:val="2"/>
            <w:shd w:val="clear" w:color="auto" w:fill="CC99FF"/>
          </w:tcPr>
          <w:p w:rsidR="00447B8D" w:rsidRDefault="00447B8D" w:rsidP="0009125E">
            <w:r>
              <w:t>5.2. Maintenance, cleaning, repair</w:t>
            </w:r>
          </w:p>
        </w:tc>
      </w:tr>
      <w:tr w:rsidR="006C17B0" w:rsidTr="000736F3">
        <w:tc>
          <w:tcPr>
            <w:tcW w:w="1549" w:type="dxa"/>
          </w:tcPr>
          <w:p w:rsidR="006C17B0" w:rsidRDefault="0012661E" w:rsidP="0012661E">
            <w:r>
              <w:t xml:space="preserve">Lines </w:t>
            </w:r>
            <w:r w:rsidR="00CA05E0">
              <w:t>68</w:t>
            </w:r>
            <w:r>
              <w:t>5</w:t>
            </w:r>
            <w:r w:rsidR="00CA05E0">
              <w:t>-689</w:t>
            </w:r>
          </w:p>
        </w:tc>
        <w:tc>
          <w:tcPr>
            <w:tcW w:w="7693" w:type="dxa"/>
          </w:tcPr>
          <w:p w:rsidR="006C17B0" w:rsidRDefault="00CA05E0" w:rsidP="0009125E">
            <w:r>
              <w:t>The appropriate measures that need to be applied to avoid the risk of cross contamination should be supported by a risk assessment</w:t>
            </w:r>
            <w:r w:rsidR="00124E95">
              <w:t>.</w:t>
            </w:r>
          </w:p>
        </w:tc>
      </w:tr>
      <w:tr w:rsidR="00940EB5" w:rsidTr="00447B8D">
        <w:tc>
          <w:tcPr>
            <w:tcW w:w="9242" w:type="dxa"/>
            <w:gridSpan w:val="2"/>
            <w:shd w:val="clear" w:color="auto" w:fill="CC99FF"/>
          </w:tcPr>
          <w:p w:rsidR="00940EB5" w:rsidRPr="00940EB5" w:rsidRDefault="00940EB5" w:rsidP="0009125E">
            <w:pPr>
              <w:rPr>
                <w:b/>
              </w:rPr>
            </w:pPr>
            <w:r w:rsidRPr="00940EB5">
              <w:rPr>
                <w:b/>
              </w:rPr>
              <w:t>6. Documentation</w:t>
            </w:r>
          </w:p>
        </w:tc>
      </w:tr>
      <w:tr w:rsidR="00447B8D" w:rsidTr="00447B8D">
        <w:tc>
          <w:tcPr>
            <w:tcW w:w="9242" w:type="dxa"/>
            <w:gridSpan w:val="2"/>
            <w:shd w:val="clear" w:color="auto" w:fill="CC99FF"/>
          </w:tcPr>
          <w:p w:rsidR="00447B8D" w:rsidRDefault="00447B8D" w:rsidP="0009125E">
            <w:r>
              <w:t>6.2. Specifications and Instructions</w:t>
            </w:r>
          </w:p>
        </w:tc>
      </w:tr>
      <w:tr w:rsidR="006C17B0" w:rsidTr="000736F3">
        <w:tc>
          <w:tcPr>
            <w:tcW w:w="1549" w:type="dxa"/>
          </w:tcPr>
          <w:p w:rsidR="006C17B0" w:rsidRDefault="00B74E18" w:rsidP="0009125E">
            <w:r>
              <w:t xml:space="preserve">Lines </w:t>
            </w:r>
            <w:r w:rsidR="003E73E1">
              <w:t>710-715</w:t>
            </w:r>
          </w:p>
        </w:tc>
        <w:tc>
          <w:tcPr>
            <w:tcW w:w="7693" w:type="dxa"/>
          </w:tcPr>
          <w:p w:rsidR="003E73E1" w:rsidRDefault="003B1A8E" w:rsidP="00B74E18">
            <w:r>
              <w:t>I</w:t>
            </w:r>
            <w:r w:rsidR="00B74E18">
              <w:t xml:space="preserve">t should be mentioned that it is recommended to refer to applicable Eur. Ph. Monographs for setting </w:t>
            </w:r>
            <w:r w:rsidR="00B74E18" w:rsidRPr="00316C13">
              <w:t>specifications</w:t>
            </w:r>
            <w:r w:rsidR="00AA168F" w:rsidRPr="00316C13">
              <w:t xml:space="preserve"> (e.g. </w:t>
            </w:r>
            <w:r w:rsidR="00316C13" w:rsidRPr="00316C13">
              <w:rPr>
                <w:rFonts w:cs="Segoe UI"/>
                <w:color w:val="000000"/>
              </w:rPr>
              <w:t>Ph. Eur. 5.14 Gene transfer medicinal products for human use)</w:t>
            </w:r>
            <w:r w:rsidR="00316C13">
              <w:rPr>
                <w:rFonts w:cs="Segoe UI"/>
                <w:color w:val="000000"/>
              </w:rPr>
              <w:t>.</w:t>
            </w:r>
          </w:p>
        </w:tc>
      </w:tr>
      <w:tr w:rsidR="00D23EB0" w:rsidTr="000736F3">
        <w:tc>
          <w:tcPr>
            <w:tcW w:w="1549" w:type="dxa"/>
          </w:tcPr>
          <w:p w:rsidR="00D23EB0" w:rsidRDefault="00D23EB0" w:rsidP="0065136B">
            <w:r>
              <w:t>Line 786</w:t>
            </w:r>
          </w:p>
        </w:tc>
        <w:tc>
          <w:tcPr>
            <w:tcW w:w="7693" w:type="dxa"/>
          </w:tcPr>
          <w:p w:rsidR="00D23EB0" w:rsidRDefault="00D23EB0" w:rsidP="0009125E">
            <w:r>
              <w:t>Reference to Annex 13 should be included.</w:t>
            </w:r>
          </w:p>
        </w:tc>
      </w:tr>
      <w:tr w:rsidR="00192790" w:rsidTr="000736F3">
        <w:tc>
          <w:tcPr>
            <w:tcW w:w="1549" w:type="dxa"/>
          </w:tcPr>
          <w:p w:rsidR="00192790" w:rsidRDefault="0065136B" w:rsidP="0065136B">
            <w:r>
              <w:t>Lines 787-</w:t>
            </w:r>
            <w:r w:rsidR="00BA67AA">
              <w:t>791</w:t>
            </w:r>
          </w:p>
        </w:tc>
        <w:tc>
          <w:tcPr>
            <w:tcW w:w="7693" w:type="dxa"/>
          </w:tcPr>
          <w:p w:rsidR="00192790" w:rsidRDefault="0065136B" w:rsidP="0009125E">
            <w:r>
              <w:t xml:space="preserve">Recommend to include: </w:t>
            </w:r>
            <w:r w:rsidR="00BA67AA">
              <w:t>All changes should be captured/evaluated using change control process</w:t>
            </w:r>
            <w:r>
              <w:t>es</w:t>
            </w:r>
            <w:r w:rsidR="00BA67AA">
              <w:t xml:space="preserve"> and versions of documents controlled using document control practices</w:t>
            </w:r>
            <w:r w:rsidR="00D23EB0">
              <w:t>.</w:t>
            </w:r>
          </w:p>
        </w:tc>
      </w:tr>
      <w:tr w:rsidR="00575463" w:rsidTr="00575463">
        <w:tc>
          <w:tcPr>
            <w:tcW w:w="9242" w:type="dxa"/>
            <w:gridSpan w:val="2"/>
            <w:shd w:val="clear" w:color="auto" w:fill="CC99FF"/>
          </w:tcPr>
          <w:p w:rsidR="00575463" w:rsidRDefault="00575463" w:rsidP="0009125E">
            <w:r>
              <w:t>6.4. Other documentation</w:t>
            </w:r>
          </w:p>
        </w:tc>
      </w:tr>
      <w:tr w:rsidR="00575463" w:rsidTr="000736F3">
        <w:tc>
          <w:tcPr>
            <w:tcW w:w="1549" w:type="dxa"/>
          </w:tcPr>
          <w:p w:rsidR="00575463" w:rsidRDefault="006736E6" w:rsidP="0009125E">
            <w:r>
              <w:t xml:space="preserve">Line </w:t>
            </w:r>
            <w:r w:rsidR="00575463">
              <w:t>847</w:t>
            </w:r>
          </w:p>
        </w:tc>
        <w:tc>
          <w:tcPr>
            <w:tcW w:w="7693" w:type="dxa"/>
          </w:tcPr>
          <w:p w:rsidR="00575463" w:rsidRDefault="00D95FE8" w:rsidP="0009125E">
            <w:r>
              <w:t>“Maintenance and calibration of equipment” should be changed to “Maintenance, calibration and servicing of equipment”</w:t>
            </w:r>
            <w:r w:rsidR="007D0F7C">
              <w:t>.</w:t>
            </w:r>
          </w:p>
        </w:tc>
      </w:tr>
      <w:tr w:rsidR="00CE121C" w:rsidTr="000736F3">
        <w:tc>
          <w:tcPr>
            <w:tcW w:w="1549" w:type="dxa"/>
          </w:tcPr>
          <w:p w:rsidR="00CE121C" w:rsidRDefault="00E2001C" w:rsidP="0009125E">
            <w:r>
              <w:t xml:space="preserve">Line </w:t>
            </w:r>
            <w:r w:rsidR="00CE121C">
              <w:t>848</w:t>
            </w:r>
          </w:p>
        </w:tc>
        <w:tc>
          <w:tcPr>
            <w:tcW w:w="7693" w:type="dxa"/>
          </w:tcPr>
          <w:p w:rsidR="00CE121C" w:rsidRDefault="00CE121C" w:rsidP="0009125E">
            <w:r>
              <w:t>Cleaning validation studies should be added to the list</w:t>
            </w:r>
            <w:r w:rsidR="007D0F7C">
              <w:t>.</w:t>
            </w:r>
          </w:p>
        </w:tc>
      </w:tr>
      <w:tr w:rsidR="00DD0CD4" w:rsidTr="00E037B8">
        <w:tc>
          <w:tcPr>
            <w:tcW w:w="9242" w:type="dxa"/>
            <w:gridSpan w:val="2"/>
            <w:shd w:val="clear" w:color="auto" w:fill="CC99FF"/>
          </w:tcPr>
          <w:p w:rsidR="00DD0CD4" w:rsidRPr="00976985" w:rsidRDefault="00976985" w:rsidP="0009125E">
            <w:pPr>
              <w:rPr>
                <w:b/>
              </w:rPr>
            </w:pPr>
            <w:r w:rsidRPr="00976985">
              <w:rPr>
                <w:b/>
              </w:rPr>
              <w:t>7. Starting and raw materials</w:t>
            </w:r>
          </w:p>
        </w:tc>
      </w:tr>
      <w:tr w:rsidR="00447B8D" w:rsidTr="00E037B8">
        <w:tc>
          <w:tcPr>
            <w:tcW w:w="9242" w:type="dxa"/>
            <w:gridSpan w:val="2"/>
            <w:shd w:val="clear" w:color="auto" w:fill="CC99FF"/>
          </w:tcPr>
          <w:p w:rsidR="00447B8D" w:rsidRDefault="00447B8D" w:rsidP="0009125E">
            <w:r>
              <w:t>7.2. Raw Materials</w:t>
            </w:r>
          </w:p>
        </w:tc>
      </w:tr>
      <w:tr w:rsidR="006C17B0" w:rsidTr="000736F3">
        <w:tc>
          <w:tcPr>
            <w:tcW w:w="1549" w:type="dxa"/>
          </w:tcPr>
          <w:p w:rsidR="006C17B0" w:rsidRDefault="00671521" w:rsidP="0009125E">
            <w:r>
              <w:t xml:space="preserve">Line </w:t>
            </w:r>
            <w:r w:rsidR="006F35BC">
              <w:t>931</w:t>
            </w:r>
          </w:p>
        </w:tc>
        <w:tc>
          <w:tcPr>
            <w:tcW w:w="7693" w:type="dxa"/>
          </w:tcPr>
          <w:p w:rsidR="006F35BC" w:rsidRDefault="006F35BC" w:rsidP="00830BF8">
            <w:r>
              <w:t xml:space="preserve">Recommend </w:t>
            </w:r>
            <w:r w:rsidR="00671521">
              <w:t xml:space="preserve">to include </w:t>
            </w:r>
            <w:r>
              <w:t>classifications of raw material, critical raw material and starting material</w:t>
            </w:r>
            <w:r w:rsidR="00671521">
              <w:t xml:space="preserve">. </w:t>
            </w:r>
            <w:r w:rsidR="007A2F52">
              <w:t>Reference to the proposed monograph (</w:t>
            </w:r>
            <w:r w:rsidR="00830BF8">
              <w:t>Ph. Eur</w:t>
            </w:r>
            <w:r w:rsidR="00DB232D">
              <w:t xml:space="preserve"> 5.2.12 </w:t>
            </w:r>
            <w:r w:rsidR="00DB232D" w:rsidRPr="00DB232D">
              <w:rPr>
                <w:i/>
              </w:rPr>
              <w:t>Raw materials of biological origin for the production of cell-based and gene therapy medicinal products</w:t>
            </w:r>
            <w:r w:rsidR="007A2F52">
              <w:t xml:space="preserve">) </w:t>
            </w:r>
            <w:r w:rsidR="00C3159D">
              <w:t xml:space="preserve">or any future guidance </w:t>
            </w:r>
            <w:r w:rsidR="00DB232D">
              <w:t>should be made</w:t>
            </w:r>
            <w:r w:rsidR="00DE2396">
              <w:t>.</w:t>
            </w:r>
          </w:p>
        </w:tc>
      </w:tr>
      <w:tr w:rsidR="000E710A" w:rsidTr="000E710A">
        <w:tc>
          <w:tcPr>
            <w:tcW w:w="9242" w:type="dxa"/>
            <w:gridSpan w:val="2"/>
            <w:shd w:val="clear" w:color="auto" w:fill="CC99FF"/>
          </w:tcPr>
          <w:p w:rsidR="000E710A" w:rsidRDefault="000E710A" w:rsidP="00671521">
            <w:r>
              <w:t>7.3. Starting Materials</w:t>
            </w:r>
          </w:p>
        </w:tc>
      </w:tr>
      <w:tr w:rsidR="000E710A" w:rsidTr="000736F3">
        <w:tc>
          <w:tcPr>
            <w:tcW w:w="1549" w:type="dxa"/>
          </w:tcPr>
          <w:p w:rsidR="000E710A" w:rsidRDefault="000E710A" w:rsidP="0009125E">
            <w:r>
              <w:t>Lines 987-988</w:t>
            </w:r>
          </w:p>
        </w:tc>
        <w:tc>
          <w:tcPr>
            <w:tcW w:w="7693" w:type="dxa"/>
          </w:tcPr>
          <w:p w:rsidR="000E710A" w:rsidRDefault="000E710A" w:rsidP="00671521">
            <w:r>
              <w:t>Quality requirements for starting materials should be agreed and documented by the ATMP manufacturer</w:t>
            </w:r>
            <w:r w:rsidR="00DE2396">
              <w:t>.</w:t>
            </w:r>
          </w:p>
        </w:tc>
      </w:tr>
      <w:tr w:rsidR="00447B8D" w:rsidTr="00447B8D">
        <w:tc>
          <w:tcPr>
            <w:tcW w:w="9242" w:type="dxa"/>
            <w:gridSpan w:val="2"/>
            <w:shd w:val="clear" w:color="auto" w:fill="CC99FF"/>
          </w:tcPr>
          <w:p w:rsidR="00447B8D" w:rsidRPr="003B009D" w:rsidRDefault="00447B8D" w:rsidP="0009125E">
            <w:pPr>
              <w:rPr>
                <w:b/>
              </w:rPr>
            </w:pPr>
            <w:r w:rsidRPr="003B009D">
              <w:rPr>
                <w:b/>
              </w:rPr>
              <w:t>8. Seed lot and cell bank systems</w:t>
            </w:r>
          </w:p>
        </w:tc>
      </w:tr>
      <w:tr w:rsidR="00E473D4" w:rsidTr="000736F3">
        <w:tc>
          <w:tcPr>
            <w:tcW w:w="1549" w:type="dxa"/>
          </w:tcPr>
          <w:p w:rsidR="00E473D4" w:rsidRDefault="00906393" w:rsidP="0009125E">
            <w:r>
              <w:t xml:space="preserve">Line </w:t>
            </w:r>
            <w:r w:rsidR="00E473D4">
              <w:t>1072</w:t>
            </w:r>
          </w:p>
        </w:tc>
        <w:tc>
          <w:tcPr>
            <w:tcW w:w="7693" w:type="dxa"/>
          </w:tcPr>
          <w:p w:rsidR="00E473D4" w:rsidRDefault="00E473D4" w:rsidP="00906393">
            <w:r>
              <w:t>Recommend to modify to indicate that if the establishment of working seed lot/cell banks is not feasible/not mandatory, a risk</w:t>
            </w:r>
            <w:r w:rsidR="002D7219">
              <w:t xml:space="preserve"> assessment </w:t>
            </w:r>
            <w:r>
              <w:t xml:space="preserve">should be </w:t>
            </w:r>
            <w:r w:rsidR="00906393">
              <w:t>completed and this should be documented</w:t>
            </w:r>
            <w:r w:rsidR="00DE2396">
              <w:t>.</w:t>
            </w:r>
          </w:p>
        </w:tc>
      </w:tr>
      <w:tr w:rsidR="006C17B0" w:rsidTr="000736F3">
        <w:tc>
          <w:tcPr>
            <w:tcW w:w="1549" w:type="dxa"/>
          </w:tcPr>
          <w:p w:rsidR="006C17B0" w:rsidRDefault="009C59F9" w:rsidP="0009125E">
            <w:r>
              <w:t xml:space="preserve">Lines </w:t>
            </w:r>
            <w:r w:rsidR="007E0C52">
              <w:t>1130</w:t>
            </w:r>
            <w:r>
              <w:t>-1133</w:t>
            </w:r>
          </w:p>
        </w:tc>
        <w:tc>
          <w:tcPr>
            <w:tcW w:w="7693" w:type="dxa"/>
          </w:tcPr>
          <w:p w:rsidR="007E0C52" w:rsidRDefault="009C59F9" w:rsidP="009C59F9">
            <w:r>
              <w:t>It should be indicated that s</w:t>
            </w:r>
            <w:r w:rsidR="007E0C52">
              <w:t>ponsors</w:t>
            </w:r>
            <w:r>
              <w:t xml:space="preserve"> need</w:t>
            </w:r>
            <w:r w:rsidR="007E0C52">
              <w:t xml:space="preserve"> to understand </w:t>
            </w:r>
            <w:r>
              <w:t xml:space="preserve">that </w:t>
            </w:r>
            <w:r w:rsidR="007E0C52">
              <w:t xml:space="preserve">the responsibility lies with </w:t>
            </w:r>
            <w:r>
              <w:t xml:space="preserve">the </w:t>
            </w:r>
            <w:r w:rsidR="007E0C52">
              <w:t xml:space="preserve">manufacturer and </w:t>
            </w:r>
            <w:r>
              <w:t xml:space="preserve">it is </w:t>
            </w:r>
            <w:r w:rsidR="007E0C52">
              <w:t xml:space="preserve">expected that sponsor provide </w:t>
            </w:r>
            <w:r>
              <w:t xml:space="preserve">the </w:t>
            </w:r>
            <w:r w:rsidR="007E0C52">
              <w:t xml:space="preserve">history of </w:t>
            </w:r>
            <w:r>
              <w:t xml:space="preserve">the </w:t>
            </w:r>
            <w:r w:rsidR="007E0C52">
              <w:t xml:space="preserve">cell line and collaborate with </w:t>
            </w:r>
            <w:r>
              <w:t xml:space="preserve">the </w:t>
            </w:r>
            <w:r w:rsidR="007E0C52">
              <w:t>facility</w:t>
            </w:r>
            <w:r>
              <w:t>. In addition, s</w:t>
            </w:r>
            <w:r w:rsidR="007E0C52">
              <w:t xml:space="preserve">ponsor should have quality agreements with </w:t>
            </w:r>
            <w:r>
              <w:t xml:space="preserve">the </w:t>
            </w:r>
            <w:r w:rsidR="007E0C52">
              <w:t>manufacturer of cell banks</w:t>
            </w:r>
            <w:r w:rsidR="00DE2396">
              <w:t>.</w:t>
            </w:r>
          </w:p>
        </w:tc>
      </w:tr>
      <w:tr w:rsidR="00F95EAA" w:rsidTr="00F95EAA">
        <w:tc>
          <w:tcPr>
            <w:tcW w:w="9242" w:type="dxa"/>
            <w:gridSpan w:val="2"/>
            <w:shd w:val="clear" w:color="auto" w:fill="CC99FF"/>
          </w:tcPr>
          <w:p w:rsidR="00F95EAA" w:rsidRPr="00F95EAA" w:rsidRDefault="00F95EAA" w:rsidP="009C59F9">
            <w:pPr>
              <w:rPr>
                <w:b/>
              </w:rPr>
            </w:pPr>
            <w:r w:rsidRPr="00F95EAA">
              <w:rPr>
                <w:b/>
              </w:rPr>
              <w:t>9. Production</w:t>
            </w:r>
          </w:p>
        </w:tc>
      </w:tr>
      <w:tr w:rsidR="00F95EAA" w:rsidTr="00F95EAA">
        <w:tc>
          <w:tcPr>
            <w:tcW w:w="9242" w:type="dxa"/>
            <w:gridSpan w:val="2"/>
            <w:shd w:val="clear" w:color="auto" w:fill="CC99FF"/>
          </w:tcPr>
          <w:p w:rsidR="00F95EAA" w:rsidRDefault="00F95EAA" w:rsidP="009C59F9">
            <w:r>
              <w:t>9.1. General principles</w:t>
            </w:r>
          </w:p>
        </w:tc>
      </w:tr>
      <w:tr w:rsidR="00F95EAA" w:rsidTr="000736F3">
        <w:tc>
          <w:tcPr>
            <w:tcW w:w="1549" w:type="dxa"/>
          </w:tcPr>
          <w:p w:rsidR="00F95EAA" w:rsidRDefault="00A642CC" w:rsidP="0009125E">
            <w:r>
              <w:t>Lines 1136-1162</w:t>
            </w:r>
          </w:p>
        </w:tc>
        <w:tc>
          <w:tcPr>
            <w:tcW w:w="7693" w:type="dxa"/>
          </w:tcPr>
          <w:p w:rsidR="00F95EAA" w:rsidRDefault="00DE2396" w:rsidP="00DE2396">
            <w:r>
              <w:t>E</w:t>
            </w:r>
            <w:r w:rsidR="00A642CC">
              <w:t xml:space="preserve">xamples of significant changes that will need to be assessed through a comparability study </w:t>
            </w:r>
            <w:r>
              <w:t>could</w:t>
            </w:r>
            <w:r w:rsidR="00A642CC">
              <w:t xml:space="preserve"> be provided. The section does not mention the need for </w:t>
            </w:r>
            <w:r w:rsidR="00A642CC">
              <w:lastRenderedPageBreak/>
              <w:t xml:space="preserve">a competent authority to approve some of these changes as they </w:t>
            </w:r>
            <w:r>
              <w:t>may differ</w:t>
            </w:r>
            <w:r w:rsidR="00A642CC">
              <w:t xml:space="preserve"> from the requirements set in the approved initial clinical trial authorisation. This should be specified.</w:t>
            </w:r>
            <w:r>
              <w:t xml:space="preserve"> Reference to existing guidelines would be appropriate.</w:t>
            </w:r>
          </w:p>
        </w:tc>
      </w:tr>
      <w:tr w:rsidR="00B94793" w:rsidTr="008E01D6">
        <w:tc>
          <w:tcPr>
            <w:tcW w:w="9242" w:type="dxa"/>
            <w:gridSpan w:val="2"/>
            <w:shd w:val="clear" w:color="auto" w:fill="CC99FF"/>
          </w:tcPr>
          <w:p w:rsidR="00B94793" w:rsidRDefault="00B94793" w:rsidP="0009125E">
            <w:r>
              <w:lastRenderedPageBreak/>
              <w:t>9.5. Aseptic manufacturing</w:t>
            </w:r>
          </w:p>
        </w:tc>
      </w:tr>
      <w:tr w:rsidR="008E01D6" w:rsidTr="008E01D6">
        <w:tc>
          <w:tcPr>
            <w:tcW w:w="9242" w:type="dxa"/>
            <w:gridSpan w:val="2"/>
            <w:shd w:val="clear" w:color="auto" w:fill="CC99FF"/>
          </w:tcPr>
          <w:p w:rsidR="008E01D6" w:rsidRPr="00B94793" w:rsidRDefault="008E01D6" w:rsidP="0009125E">
            <w:pPr>
              <w:rPr>
                <w:i/>
              </w:rPr>
            </w:pPr>
            <w:r w:rsidRPr="00B94793">
              <w:rPr>
                <w:i/>
              </w:rPr>
              <w:t>9.5.3. Aseptic processing validation</w:t>
            </w:r>
          </w:p>
        </w:tc>
      </w:tr>
      <w:tr w:rsidR="006C17B0" w:rsidTr="000736F3">
        <w:tc>
          <w:tcPr>
            <w:tcW w:w="1549" w:type="dxa"/>
          </w:tcPr>
          <w:p w:rsidR="006C17B0" w:rsidRDefault="00AA70FB" w:rsidP="0009125E">
            <w:r>
              <w:t xml:space="preserve">Lines </w:t>
            </w:r>
            <w:r w:rsidR="008E01D6">
              <w:t>1353</w:t>
            </w:r>
            <w:r>
              <w:t>-1354</w:t>
            </w:r>
          </w:p>
        </w:tc>
        <w:tc>
          <w:tcPr>
            <w:tcW w:w="7693" w:type="dxa"/>
          </w:tcPr>
          <w:p w:rsidR="006C17B0" w:rsidRDefault="0081627F" w:rsidP="0081627F">
            <w:r>
              <w:t>Recommend to mention the risk-based approach, as f</w:t>
            </w:r>
            <w:r w:rsidR="00561690">
              <w:t xml:space="preserve">or the process simulation test as </w:t>
            </w:r>
            <w:r>
              <w:t>three</w:t>
            </w:r>
            <w:r w:rsidR="00561690">
              <w:t xml:space="preserve"> runs are not always feasible due to batch size shortage and other constrains like complex manufacturing or unique product (reproducibility issues)</w:t>
            </w:r>
            <w:r>
              <w:t>.</w:t>
            </w:r>
            <w:r w:rsidR="002B6768">
              <w:t xml:space="preserve"> Recommend to use same wording as in lines 1547-1550</w:t>
            </w:r>
            <w:r w:rsidR="00D92A71">
              <w:t xml:space="preserve"> and lines 1581-1586</w:t>
            </w:r>
            <w:r w:rsidR="002B6768">
              <w:t>.</w:t>
            </w:r>
          </w:p>
        </w:tc>
      </w:tr>
      <w:tr w:rsidR="007204B9" w:rsidTr="00DE20A6">
        <w:tc>
          <w:tcPr>
            <w:tcW w:w="9242" w:type="dxa"/>
            <w:gridSpan w:val="2"/>
            <w:shd w:val="clear" w:color="auto" w:fill="CC99FF"/>
          </w:tcPr>
          <w:p w:rsidR="007204B9" w:rsidRPr="007204B9" w:rsidRDefault="007204B9" w:rsidP="0009125E">
            <w:pPr>
              <w:rPr>
                <w:b/>
              </w:rPr>
            </w:pPr>
            <w:r w:rsidRPr="007204B9">
              <w:rPr>
                <w:b/>
              </w:rPr>
              <w:t>10. Qualification and Validation</w:t>
            </w:r>
          </w:p>
        </w:tc>
      </w:tr>
      <w:tr w:rsidR="00B749D4" w:rsidTr="00DE20A6">
        <w:tc>
          <w:tcPr>
            <w:tcW w:w="9242" w:type="dxa"/>
            <w:gridSpan w:val="2"/>
            <w:shd w:val="clear" w:color="auto" w:fill="CC99FF"/>
          </w:tcPr>
          <w:p w:rsidR="00B749D4" w:rsidRDefault="00B749D4" w:rsidP="0009125E">
            <w:r>
              <w:t>10.2. Cleaning validation</w:t>
            </w:r>
          </w:p>
        </w:tc>
      </w:tr>
      <w:tr w:rsidR="006C17B0" w:rsidTr="000736F3">
        <w:tc>
          <w:tcPr>
            <w:tcW w:w="1549" w:type="dxa"/>
          </w:tcPr>
          <w:p w:rsidR="006C17B0" w:rsidRDefault="002B6768" w:rsidP="0009125E">
            <w:r>
              <w:t xml:space="preserve">Lines </w:t>
            </w:r>
            <w:r w:rsidR="00B749D4">
              <w:t>1547-1550</w:t>
            </w:r>
          </w:p>
        </w:tc>
        <w:tc>
          <w:tcPr>
            <w:tcW w:w="7693" w:type="dxa"/>
          </w:tcPr>
          <w:p w:rsidR="006C17B0" w:rsidRDefault="002B6768" w:rsidP="002B6768">
            <w:r>
              <w:t>This provides a common case in ATMP manufacturing: the same flexibility should also be included in other processes like aseptic process validation and process validation.</w:t>
            </w:r>
          </w:p>
        </w:tc>
      </w:tr>
      <w:tr w:rsidR="00B960A9" w:rsidTr="00B960A9">
        <w:tc>
          <w:tcPr>
            <w:tcW w:w="9242" w:type="dxa"/>
            <w:gridSpan w:val="2"/>
            <w:shd w:val="clear" w:color="auto" w:fill="CC99FF"/>
          </w:tcPr>
          <w:p w:rsidR="00B960A9" w:rsidRDefault="00B960A9" w:rsidP="0009125E">
            <w:r>
              <w:t>10.3. Process validation</w:t>
            </w:r>
          </w:p>
        </w:tc>
      </w:tr>
      <w:tr w:rsidR="00CA6BEA" w:rsidTr="000736F3">
        <w:tc>
          <w:tcPr>
            <w:tcW w:w="1549" w:type="dxa"/>
          </w:tcPr>
          <w:p w:rsidR="00CA6BEA" w:rsidRDefault="00501249" w:rsidP="0009125E">
            <w:r>
              <w:t>Lines 1623-</w:t>
            </w:r>
            <w:r w:rsidR="009652C9">
              <w:t>1631</w:t>
            </w:r>
          </w:p>
        </w:tc>
        <w:tc>
          <w:tcPr>
            <w:tcW w:w="7693" w:type="dxa"/>
          </w:tcPr>
          <w:p w:rsidR="00CA6BEA" w:rsidRDefault="009652C9" w:rsidP="00564D4C">
            <w:r>
              <w:t xml:space="preserve">Add flexibility for ATMP: concurrent validation is acceptable on a risk-based approach </w:t>
            </w:r>
            <w:r w:rsidR="00501249">
              <w:t xml:space="preserve">when </w:t>
            </w:r>
            <w:r w:rsidR="000874D2">
              <w:t xml:space="preserve">a </w:t>
            </w:r>
            <w:r>
              <w:t xml:space="preserve">strong </w:t>
            </w:r>
            <w:r w:rsidR="000874D2">
              <w:t xml:space="preserve">quality management system is </w:t>
            </w:r>
            <w:r>
              <w:t>in place</w:t>
            </w:r>
            <w:r w:rsidR="00564D4C">
              <w:t>.</w:t>
            </w:r>
          </w:p>
        </w:tc>
      </w:tr>
      <w:tr w:rsidR="00F110E7" w:rsidTr="00F110E7">
        <w:tc>
          <w:tcPr>
            <w:tcW w:w="9242" w:type="dxa"/>
            <w:gridSpan w:val="2"/>
            <w:shd w:val="clear" w:color="auto" w:fill="CC99FF"/>
          </w:tcPr>
          <w:p w:rsidR="00F110E7" w:rsidRPr="00F110E7" w:rsidRDefault="00F110E7" w:rsidP="00564D4C">
            <w:pPr>
              <w:rPr>
                <w:b/>
              </w:rPr>
            </w:pPr>
            <w:r w:rsidRPr="00F110E7">
              <w:rPr>
                <w:b/>
              </w:rPr>
              <w:t>11. Qualified person and batch release</w:t>
            </w:r>
          </w:p>
        </w:tc>
      </w:tr>
      <w:tr w:rsidR="00F2593C" w:rsidTr="00F2593C">
        <w:tc>
          <w:tcPr>
            <w:tcW w:w="9242" w:type="dxa"/>
            <w:gridSpan w:val="2"/>
            <w:shd w:val="clear" w:color="auto" w:fill="CC99FF"/>
          </w:tcPr>
          <w:p w:rsidR="00F2593C" w:rsidRPr="00F2593C" w:rsidRDefault="00F2593C" w:rsidP="00564D4C">
            <w:r w:rsidRPr="00F2593C">
              <w:t>11.2. Qualified person</w:t>
            </w:r>
          </w:p>
        </w:tc>
      </w:tr>
      <w:tr w:rsidR="00F110E7" w:rsidTr="000736F3">
        <w:tc>
          <w:tcPr>
            <w:tcW w:w="1549" w:type="dxa"/>
          </w:tcPr>
          <w:p w:rsidR="00F110E7" w:rsidRDefault="007A5A62" w:rsidP="0009125E">
            <w:r>
              <w:t>Lines 1661-1663</w:t>
            </w:r>
          </w:p>
        </w:tc>
        <w:tc>
          <w:tcPr>
            <w:tcW w:w="7693" w:type="dxa"/>
          </w:tcPr>
          <w:p w:rsidR="00F110E7" w:rsidRDefault="007A5A62" w:rsidP="007A5A62">
            <w:r>
              <w:t>Mention to 3</w:t>
            </w:r>
            <w:r w:rsidRPr="007A5A62">
              <w:rPr>
                <w:vertAlign w:val="superscript"/>
              </w:rPr>
              <w:t>rd</w:t>
            </w:r>
            <w:r>
              <w:t xml:space="preserve"> party QPs should be included to clarify that any QP should have access to the records </w:t>
            </w:r>
            <w:r w:rsidR="0070287F">
              <w:t xml:space="preserve">and/or any risk-assessment </w:t>
            </w:r>
            <w:r>
              <w:t>of the product for which they are taking responsibility.</w:t>
            </w:r>
          </w:p>
        </w:tc>
      </w:tr>
      <w:tr w:rsidR="002943E2" w:rsidTr="000736F3">
        <w:tc>
          <w:tcPr>
            <w:tcW w:w="1549" w:type="dxa"/>
          </w:tcPr>
          <w:p w:rsidR="002943E2" w:rsidRDefault="002943E2" w:rsidP="0009125E">
            <w:r>
              <w:t>Line 1673</w:t>
            </w:r>
          </w:p>
        </w:tc>
        <w:tc>
          <w:tcPr>
            <w:tcW w:w="7693" w:type="dxa"/>
          </w:tcPr>
          <w:p w:rsidR="002943E2" w:rsidRDefault="000D0FF9" w:rsidP="007A5A62">
            <w:r>
              <w:t>Include reference to this guidance document in conjunction with GMP requirements applied in the EU.</w:t>
            </w:r>
          </w:p>
        </w:tc>
      </w:tr>
      <w:tr w:rsidR="00591571" w:rsidTr="00591571">
        <w:tc>
          <w:tcPr>
            <w:tcW w:w="9242" w:type="dxa"/>
            <w:gridSpan w:val="2"/>
            <w:shd w:val="clear" w:color="auto" w:fill="CC99FF"/>
          </w:tcPr>
          <w:p w:rsidR="00591571" w:rsidRDefault="00591571" w:rsidP="007A5A62">
            <w:r w:rsidRPr="00F2593C">
              <w:t>11.</w:t>
            </w:r>
            <w:r>
              <w:t>3</w:t>
            </w:r>
            <w:r w:rsidRPr="00F2593C">
              <w:t xml:space="preserve">. </w:t>
            </w:r>
            <w:r>
              <w:t>Batch release</w:t>
            </w:r>
          </w:p>
        </w:tc>
      </w:tr>
      <w:tr w:rsidR="00591571" w:rsidTr="00591571">
        <w:tc>
          <w:tcPr>
            <w:tcW w:w="9242" w:type="dxa"/>
            <w:gridSpan w:val="2"/>
            <w:shd w:val="clear" w:color="auto" w:fill="CC99FF"/>
          </w:tcPr>
          <w:p w:rsidR="00591571" w:rsidRPr="00591571" w:rsidRDefault="00591571" w:rsidP="007A5A62">
            <w:pPr>
              <w:rPr>
                <w:i/>
              </w:rPr>
            </w:pPr>
            <w:r w:rsidRPr="00591571">
              <w:rPr>
                <w:i/>
              </w:rPr>
              <w:t>11.3.1. Batch release process</w:t>
            </w:r>
          </w:p>
        </w:tc>
      </w:tr>
      <w:tr w:rsidR="00591571" w:rsidTr="000736F3">
        <w:tc>
          <w:tcPr>
            <w:tcW w:w="1549" w:type="dxa"/>
          </w:tcPr>
          <w:p w:rsidR="00591571" w:rsidRDefault="00244F3E" w:rsidP="0009125E">
            <w:r>
              <w:t>Lines 1752-1755</w:t>
            </w:r>
          </w:p>
        </w:tc>
        <w:tc>
          <w:tcPr>
            <w:tcW w:w="7693" w:type="dxa"/>
          </w:tcPr>
          <w:p w:rsidR="00591571" w:rsidRDefault="00244F3E" w:rsidP="007A5A62">
            <w:r>
              <w:t>Certification of finished product batch by QP after changes to the manufacturing process should be added, indicating that QP should be aware of the changes and have access to risk-assessments to evaluate the relevance of the change.</w:t>
            </w:r>
          </w:p>
        </w:tc>
      </w:tr>
      <w:tr w:rsidR="0066719A" w:rsidTr="000736F3">
        <w:tc>
          <w:tcPr>
            <w:tcW w:w="1549" w:type="dxa"/>
          </w:tcPr>
          <w:p w:rsidR="0066719A" w:rsidRDefault="0066719A" w:rsidP="0009125E">
            <w:r>
              <w:t>Line 1772</w:t>
            </w:r>
          </w:p>
        </w:tc>
        <w:tc>
          <w:tcPr>
            <w:tcW w:w="7693" w:type="dxa"/>
          </w:tcPr>
          <w:p w:rsidR="0066719A" w:rsidRDefault="0066719A" w:rsidP="007A5A62">
            <w:r>
              <w:t>Include reference to CMO or CRO, where this responsibility has been contracted and detailed in agreement between both parties.</w:t>
            </w:r>
          </w:p>
        </w:tc>
      </w:tr>
      <w:tr w:rsidR="0066719A" w:rsidTr="000736F3">
        <w:tc>
          <w:tcPr>
            <w:tcW w:w="1549" w:type="dxa"/>
          </w:tcPr>
          <w:p w:rsidR="0066719A" w:rsidRDefault="0073605A" w:rsidP="0009125E">
            <w:r>
              <w:t>Line 1775</w:t>
            </w:r>
          </w:p>
        </w:tc>
        <w:tc>
          <w:tcPr>
            <w:tcW w:w="7693" w:type="dxa"/>
          </w:tcPr>
          <w:p w:rsidR="0066719A" w:rsidRDefault="0073605A" w:rsidP="007A5A62">
            <w:r>
              <w:t>Typo: Side should be Site.</w:t>
            </w:r>
          </w:p>
        </w:tc>
      </w:tr>
      <w:tr w:rsidR="0066719A" w:rsidTr="000736F3">
        <w:tc>
          <w:tcPr>
            <w:tcW w:w="1549" w:type="dxa"/>
          </w:tcPr>
          <w:p w:rsidR="0066719A" w:rsidRDefault="0073605A" w:rsidP="0009125E">
            <w:r>
              <w:t>Line 1776</w:t>
            </w:r>
          </w:p>
        </w:tc>
        <w:tc>
          <w:tcPr>
            <w:tcW w:w="7693" w:type="dxa"/>
          </w:tcPr>
          <w:p w:rsidR="0066719A" w:rsidRDefault="00362437" w:rsidP="007A5A62">
            <w:r>
              <w:t>Where site to site transfers occur, sponsor and QP approval should be included.</w:t>
            </w:r>
          </w:p>
        </w:tc>
      </w:tr>
      <w:tr w:rsidR="000736F3" w:rsidTr="000736F3">
        <w:tc>
          <w:tcPr>
            <w:tcW w:w="9242" w:type="dxa"/>
            <w:gridSpan w:val="2"/>
            <w:shd w:val="clear" w:color="auto" w:fill="CC99FF"/>
          </w:tcPr>
          <w:p w:rsidR="000736F3" w:rsidRDefault="000736F3" w:rsidP="007A5A62">
            <w:r>
              <w:t>11.5. Administration of out of specification products</w:t>
            </w:r>
          </w:p>
        </w:tc>
      </w:tr>
      <w:tr w:rsidR="000736F3" w:rsidTr="000736F3">
        <w:tc>
          <w:tcPr>
            <w:tcW w:w="1549" w:type="dxa"/>
          </w:tcPr>
          <w:p w:rsidR="000736F3" w:rsidRDefault="00734F9A" w:rsidP="0009125E">
            <w:r>
              <w:t>Lines 1814-1817</w:t>
            </w:r>
          </w:p>
        </w:tc>
        <w:tc>
          <w:tcPr>
            <w:tcW w:w="7693" w:type="dxa"/>
          </w:tcPr>
          <w:p w:rsidR="000736F3" w:rsidRDefault="004F3F9D" w:rsidP="007A5A62">
            <w:r>
              <w:t>It would be advisable to provide the relevant competent authorities with a risk-assessment to evaluate the likelihood of having out of specification products (or have this as part of a document included in the application submitted) to streamline the process of notifying instances of administration of out of specification products.</w:t>
            </w:r>
          </w:p>
        </w:tc>
      </w:tr>
      <w:tr w:rsidR="00501D20" w:rsidTr="00B744CE">
        <w:tc>
          <w:tcPr>
            <w:tcW w:w="9242" w:type="dxa"/>
            <w:gridSpan w:val="2"/>
            <w:shd w:val="clear" w:color="auto" w:fill="CC99FF"/>
          </w:tcPr>
          <w:p w:rsidR="00501D20" w:rsidRPr="00501D20" w:rsidRDefault="00501D20" w:rsidP="0009125E">
            <w:pPr>
              <w:rPr>
                <w:b/>
              </w:rPr>
            </w:pPr>
            <w:r w:rsidRPr="00501D20">
              <w:rPr>
                <w:b/>
              </w:rPr>
              <w:t>12. Quality control</w:t>
            </w:r>
          </w:p>
        </w:tc>
      </w:tr>
      <w:tr w:rsidR="00C37A5D" w:rsidTr="00B744CE">
        <w:tc>
          <w:tcPr>
            <w:tcW w:w="9242" w:type="dxa"/>
            <w:gridSpan w:val="2"/>
            <w:shd w:val="clear" w:color="auto" w:fill="CC99FF"/>
          </w:tcPr>
          <w:p w:rsidR="00C37A5D" w:rsidRDefault="00C37A5D" w:rsidP="0009125E">
            <w:r>
              <w:t>12.2. Sampling</w:t>
            </w:r>
          </w:p>
        </w:tc>
      </w:tr>
      <w:tr w:rsidR="00B744CE" w:rsidTr="00B744CE">
        <w:tc>
          <w:tcPr>
            <w:tcW w:w="9242" w:type="dxa"/>
            <w:gridSpan w:val="2"/>
            <w:shd w:val="clear" w:color="auto" w:fill="CC99FF"/>
          </w:tcPr>
          <w:p w:rsidR="00B744CE" w:rsidRPr="00C37A5D" w:rsidRDefault="00B744CE" w:rsidP="0009125E">
            <w:pPr>
              <w:rPr>
                <w:i/>
              </w:rPr>
            </w:pPr>
            <w:r w:rsidRPr="00C37A5D">
              <w:rPr>
                <w:i/>
              </w:rPr>
              <w:t>12.2.2. Retention of samples</w:t>
            </w:r>
          </w:p>
        </w:tc>
      </w:tr>
      <w:tr w:rsidR="00CA6BEA" w:rsidTr="000736F3">
        <w:tc>
          <w:tcPr>
            <w:tcW w:w="1549" w:type="dxa"/>
          </w:tcPr>
          <w:p w:rsidR="00CA6BEA" w:rsidRDefault="001144AB" w:rsidP="0009125E">
            <w:r>
              <w:t xml:space="preserve">Lines </w:t>
            </w:r>
            <w:r w:rsidR="00DB0F66">
              <w:t>18</w:t>
            </w:r>
            <w:r>
              <w:t>66-18</w:t>
            </w:r>
            <w:r w:rsidR="00DB0F66">
              <w:t>70</w:t>
            </w:r>
          </w:p>
        </w:tc>
        <w:tc>
          <w:tcPr>
            <w:tcW w:w="7693" w:type="dxa"/>
          </w:tcPr>
          <w:p w:rsidR="00CA6BEA" w:rsidRDefault="001144AB" w:rsidP="001144AB">
            <w:r>
              <w:t>Indicate that a</w:t>
            </w:r>
            <w:r w:rsidR="00DB0F66">
              <w:t xml:space="preserve"> risk-based approach is required </w:t>
            </w:r>
            <w:r>
              <w:t>when retention of reference samples is not possible.</w:t>
            </w:r>
          </w:p>
        </w:tc>
      </w:tr>
      <w:tr w:rsidR="0051729F" w:rsidTr="0051729F">
        <w:tc>
          <w:tcPr>
            <w:tcW w:w="9242" w:type="dxa"/>
            <w:gridSpan w:val="2"/>
            <w:shd w:val="clear" w:color="auto" w:fill="CC99FF"/>
          </w:tcPr>
          <w:p w:rsidR="0051729F" w:rsidRPr="0051729F" w:rsidRDefault="0051729F" w:rsidP="0009125E">
            <w:pPr>
              <w:rPr>
                <w:b/>
              </w:rPr>
            </w:pPr>
            <w:r w:rsidRPr="0051729F">
              <w:rPr>
                <w:b/>
              </w:rPr>
              <w:t>14. Quality defects and product recalls</w:t>
            </w:r>
          </w:p>
        </w:tc>
      </w:tr>
      <w:tr w:rsidR="0051729F" w:rsidTr="0051729F">
        <w:tc>
          <w:tcPr>
            <w:tcW w:w="9242" w:type="dxa"/>
            <w:gridSpan w:val="2"/>
            <w:shd w:val="clear" w:color="auto" w:fill="CC99FF"/>
          </w:tcPr>
          <w:p w:rsidR="0051729F" w:rsidRDefault="0051729F" w:rsidP="0009125E">
            <w:r>
              <w:t>14.2. Product recalls</w:t>
            </w:r>
          </w:p>
        </w:tc>
      </w:tr>
      <w:tr w:rsidR="00CA6BEA" w:rsidTr="000736F3">
        <w:tc>
          <w:tcPr>
            <w:tcW w:w="1549" w:type="dxa"/>
          </w:tcPr>
          <w:p w:rsidR="00CA6BEA" w:rsidRDefault="0051729F" w:rsidP="0009125E">
            <w:r>
              <w:t>Lines 2052-</w:t>
            </w:r>
            <w:r>
              <w:lastRenderedPageBreak/>
              <w:t>2053</w:t>
            </w:r>
          </w:p>
        </w:tc>
        <w:tc>
          <w:tcPr>
            <w:tcW w:w="7693" w:type="dxa"/>
          </w:tcPr>
          <w:p w:rsidR="00CA6BEA" w:rsidRDefault="0051729F" w:rsidP="003D1FB5">
            <w:r>
              <w:lastRenderedPageBreak/>
              <w:t xml:space="preserve">Requirements of the action plan </w:t>
            </w:r>
            <w:r w:rsidR="003D1FB5">
              <w:t xml:space="preserve">for when a product recall is not possible </w:t>
            </w:r>
            <w:r>
              <w:t xml:space="preserve">should be </w:t>
            </w:r>
            <w:r>
              <w:lastRenderedPageBreak/>
              <w:t>provided in the guidance</w:t>
            </w:r>
            <w:r w:rsidR="003D1FB5">
              <w:t>.</w:t>
            </w:r>
          </w:p>
        </w:tc>
      </w:tr>
      <w:tr w:rsidR="003D1FB5" w:rsidTr="003D1FB5">
        <w:tc>
          <w:tcPr>
            <w:tcW w:w="9242" w:type="dxa"/>
            <w:gridSpan w:val="2"/>
            <w:shd w:val="clear" w:color="auto" w:fill="CC99FF"/>
          </w:tcPr>
          <w:p w:rsidR="003D1FB5" w:rsidRPr="003D1FB5" w:rsidRDefault="003D1FB5" w:rsidP="0009125E">
            <w:pPr>
              <w:rPr>
                <w:b/>
              </w:rPr>
            </w:pPr>
            <w:r w:rsidRPr="003D1FB5">
              <w:rPr>
                <w:b/>
              </w:rPr>
              <w:lastRenderedPageBreak/>
              <w:t>15. Environmental control measures for ATMPs containing or consisting of GMO’s</w:t>
            </w:r>
          </w:p>
        </w:tc>
      </w:tr>
      <w:tr w:rsidR="003D1FB5" w:rsidTr="000736F3">
        <w:tc>
          <w:tcPr>
            <w:tcW w:w="1549" w:type="dxa"/>
          </w:tcPr>
          <w:p w:rsidR="003D1FB5" w:rsidRDefault="006A601B" w:rsidP="0009125E">
            <w:r>
              <w:t>Lines 2055-2073</w:t>
            </w:r>
          </w:p>
        </w:tc>
        <w:tc>
          <w:tcPr>
            <w:tcW w:w="7693" w:type="dxa"/>
          </w:tcPr>
          <w:p w:rsidR="003D1FB5" w:rsidRDefault="006A601B" w:rsidP="00AF59F9">
            <w:r>
              <w:t>Reference to existing guidelines should be incorporated. A homogenous approach between different member states should be considered.</w:t>
            </w:r>
          </w:p>
        </w:tc>
      </w:tr>
      <w:tr w:rsidR="00E11996" w:rsidTr="007D6F8A">
        <w:tc>
          <w:tcPr>
            <w:tcW w:w="9242" w:type="dxa"/>
            <w:gridSpan w:val="2"/>
            <w:shd w:val="clear" w:color="auto" w:fill="CC99FF"/>
          </w:tcPr>
          <w:p w:rsidR="00E11996" w:rsidRPr="00E11996" w:rsidRDefault="00E11996" w:rsidP="0009125E">
            <w:pPr>
              <w:rPr>
                <w:b/>
              </w:rPr>
            </w:pPr>
            <w:r w:rsidRPr="00E11996">
              <w:rPr>
                <w:b/>
              </w:rPr>
              <w:t>16. Reconstitution of product after batch release</w:t>
            </w:r>
          </w:p>
        </w:tc>
      </w:tr>
      <w:tr w:rsidR="002A6F13" w:rsidTr="002A6F13">
        <w:tc>
          <w:tcPr>
            <w:tcW w:w="9242" w:type="dxa"/>
            <w:gridSpan w:val="2"/>
            <w:shd w:val="clear" w:color="auto" w:fill="CC99FF"/>
          </w:tcPr>
          <w:p w:rsidR="002A6F13" w:rsidRDefault="002A6F13" w:rsidP="0009125E">
            <w:r>
              <w:t>16.2. Obligations of the ATMP manufacturer in connection with reconstitution activities</w:t>
            </w:r>
          </w:p>
        </w:tc>
      </w:tr>
      <w:tr w:rsidR="00CE2257" w:rsidTr="000736F3">
        <w:tc>
          <w:tcPr>
            <w:tcW w:w="1549" w:type="dxa"/>
          </w:tcPr>
          <w:p w:rsidR="00CE2257" w:rsidRDefault="00220EBD" w:rsidP="0009125E">
            <w:r>
              <w:t>Lines 2104-2105</w:t>
            </w:r>
          </w:p>
        </w:tc>
        <w:tc>
          <w:tcPr>
            <w:tcW w:w="7693" w:type="dxa"/>
          </w:tcPr>
          <w:p w:rsidR="00CE2257" w:rsidRDefault="00E170EB" w:rsidP="0009125E">
            <w:r>
              <w:t>Involvement of QP on assessment of validated reconstitution processes should be clarified.</w:t>
            </w:r>
          </w:p>
        </w:tc>
      </w:tr>
    </w:tbl>
    <w:p w:rsidR="006C17B0" w:rsidRDefault="006C17B0" w:rsidP="0009125E"/>
    <w:sectPr w:rsidR="006C17B0" w:rsidSect="00144C17">
      <w:headerReference w:type="first" r:id="rId8"/>
      <w:pgSz w:w="11906" w:h="16838"/>
      <w:pgMar w:top="237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AC" w:rsidRDefault="00034BAC" w:rsidP="00144C17">
      <w:pPr>
        <w:spacing w:after="0" w:line="240" w:lineRule="auto"/>
      </w:pPr>
      <w:r>
        <w:separator/>
      </w:r>
    </w:p>
  </w:endnote>
  <w:endnote w:type="continuationSeparator" w:id="0">
    <w:p w:rsidR="00034BAC" w:rsidRDefault="00034BAC" w:rsidP="001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AC" w:rsidRDefault="00034BAC" w:rsidP="00144C17">
      <w:pPr>
        <w:spacing w:after="0" w:line="240" w:lineRule="auto"/>
      </w:pPr>
      <w:r>
        <w:separator/>
      </w:r>
    </w:p>
  </w:footnote>
  <w:footnote w:type="continuationSeparator" w:id="0">
    <w:p w:rsidR="00034BAC" w:rsidRDefault="00034BAC" w:rsidP="001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7" w:rsidRDefault="00144C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4C235A9D" wp14:editId="03581C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19300" cy="952500"/>
          <wp:effectExtent l="0" t="0" r="0" b="0"/>
          <wp:wrapNone/>
          <wp:docPr id="2" name="Picture 2" descr="pp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DCE"/>
    <w:multiLevelType w:val="multilevel"/>
    <w:tmpl w:val="86447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9125E"/>
    <w:rsid w:val="00034BAC"/>
    <w:rsid w:val="00045D1F"/>
    <w:rsid w:val="00060FA1"/>
    <w:rsid w:val="0006531D"/>
    <w:rsid w:val="00072086"/>
    <w:rsid w:val="000736F3"/>
    <w:rsid w:val="000874D2"/>
    <w:rsid w:val="0009125E"/>
    <w:rsid w:val="000A0645"/>
    <w:rsid w:val="000D0FF9"/>
    <w:rsid w:val="000E710A"/>
    <w:rsid w:val="001144AB"/>
    <w:rsid w:val="00124E95"/>
    <w:rsid w:val="0012661E"/>
    <w:rsid w:val="00144C17"/>
    <w:rsid w:val="00192790"/>
    <w:rsid w:val="001D3ECD"/>
    <w:rsid w:val="001D5048"/>
    <w:rsid w:val="001E5A29"/>
    <w:rsid w:val="001F5DC4"/>
    <w:rsid w:val="00210208"/>
    <w:rsid w:val="00215F1C"/>
    <w:rsid w:val="00220EBD"/>
    <w:rsid w:val="00225C02"/>
    <w:rsid w:val="00244F3E"/>
    <w:rsid w:val="0027100C"/>
    <w:rsid w:val="00286872"/>
    <w:rsid w:val="002943E2"/>
    <w:rsid w:val="002A6F13"/>
    <w:rsid w:val="002B5C43"/>
    <w:rsid w:val="002B6768"/>
    <w:rsid w:val="002D7219"/>
    <w:rsid w:val="00316C13"/>
    <w:rsid w:val="00324879"/>
    <w:rsid w:val="00362437"/>
    <w:rsid w:val="003655CC"/>
    <w:rsid w:val="003720D2"/>
    <w:rsid w:val="003953F5"/>
    <w:rsid w:val="003A5F35"/>
    <w:rsid w:val="003B009D"/>
    <w:rsid w:val="003B1A8E"/>
    <w:rsid w:val="003D1FB5"/>
    <w:rsid w:val="003D4C72"/>
    <w:rsid w:val="003E4011"/>
    <w:rsid w:val="003E73E1"/>
    <w:rsid w:val="003F26E4"/>
    <w:rsid w:val="004052FF"/>
    <w:rsid w:val="00420179"/>
    <w:rsid w:val="00440900"/>
    <w:rsid w:val="00447B8D"/>
    <w:rsid w:val="0045013C"/>
    <w:rsid w:val="00450FB5"/>
    <w:rsid w:val="00482E4C"/>
    <w:rsid w:val="00493FDB"/>
    <w:rsid w:val="004C0689"/>
    <w:rsid w:val="004D6BDE"/>
    <w:rsid w:val="004E0E6A"/>
    <w:rsid w:val="004F3F9D"/>
    <w:rsid w:val="00501249"/>
    <w:rsid w:val="00501D20"/>
    <w:rsid w:val="00512EA8"/>
    <w:rsid w:val="0051729F"/>
    <w:rsid w:val="0052345B"/>
    <w:rsid w:val="0055103A"/>
    <w:rsid w:val="00561213"/>
    <w:rsid w:val="00561690"/>
    <w:rsid w:val="00564D4C"/>
    <w:rsid w:val="00574507"/>
    <w:rsid w:val="00575463"/>
    <w:rsid w:val="00591571"/>
    <w:rsid w:val="005C0DCB"/>
    <w:rsid w:val="005C60D7"/>
    <w:rsid w:val="005C755D"/>
    <w:rsid w:val="005F192C"/>
    <w:rsid w:val="00602A20"/>
    <w:rsid w:val="00624B31"/>
    <w:rsid w:val="0065136B"/>
    <w:rsid w:val="0066719A"/>
    <w:rsid w:val="00671521"/>
    <w:rsid w:val="006736E6"/>
    <w:rsid w:val="00673ECE"/>
    <w:rsid w:val="006A601B"/>
    <w:rsid w:val="006C17B0"/>
    <w:rsid w:val="006D210D"/>
    <w:rsid w:val="006F35BC"/>
    <w:rsid w:val="0070287F"/>
    <w:rsid w:val="007204B9"/>
    <w:rsid w:val="00734F9A"/>
    <w:rsid w:val="0073605A"/>
    <w:rsid w:val="00750C1E"/>
    <w:rsid w:val="007754F2"/>
    <w:rsid w:val="0078690D"/>
    <w:rsid w:val="00792E76"/>
    <w:rsid w:val="007A2F52"/>
    <w:rsid w:val="007A5A62"/>
    <w:rsid w:val="007D0F7C"/>
    <w:rsid w:val="007E0C52"/>
    <w:rsid w:val="008058BA"/>
    <w:rsid w:val="0081627F"/>
    <w:rsid w:val="00823D6E"/>
    <w:rsid w:val="00830BF8"/>
    <w:rsid w:val="008437FD"/>
    <w:rsid w:val="00890C51"/>
    <w:rsid w:val="008B1DD4"/>
    <w:rsid w:val="008D19B0"/>
    <w:rsid w:val="008E01D6"/>
    <w:rsid w:val="00906393"/>
    <w:rsid w:val="00911744"/>
    <w:rsid w:val="00926972"/>
    <w:rsid w:val="00940EB5"/>
    <w:rsid w:val="00942D94"/>
    <w:rsid w:val="00945FED"/>
    <w:rsid w:val="00954CF8"/>
    <w:rsid w:val="009652C9"/>
    <w:rsid w:val="00976985"/>
    <w:rsid w:val="009942AB"/>
    <w:rsid w:val="009C59F9"/>
    <w:rsid w:val="009D6D8A"/>
    <w:rsid w:val="00A31744"/>
    <w:rsid w:val="00A642CC"/>
    <w:rsid w:val="00AA168F"/>
    <w:rsid w:val="00AA70FB"/>
    <w:rsid w:val="00AC3AB1"/>
    <w:rsid w:val="00AF1B47"/>
    <w:rsid w:val="00AF29A1"/>
    <w:rsid w:val="00AF59F9"/>
    <w:rsid w:val="00B033A1"/>
    <w:rsid w:val="00B26887"/>
    <w:rsid w:val="00B373CB"/>
    <w:rsid w:val="00B44022"/>
    <w:rsid w:val="00B46AEB"/>
    <w:rsid w:val="00B744CE"/>
    <w:rsid w:val="00B749D4"/>
    <w:rsid w:val="00B74E18"/>
    <w:rsid w:val="00B94793"/>
    <w:rsid w:val="00B960A9"/>
    <w:rsid w:val="00BA1A25"/>
    <w:rsid w:val="00BA67AA"/>
    <w:rsid w:val="00BC2E5B"/>
    <w:rsid w:val="00BF1E82"/>
    <w:rsid w:val="00C3159D"/>
    <w:rsid w:val="00C37A5D"/>
    <w:rsid w:val="00C520C4"/>
    <w:rsid w:val="00C60ABD"/>
    <w:rsid w:val="00C6425C"/>
    <w:rsid w:val="00CA05E0"/>
    <w:rsid w:val="00CA6BEA"/>
    <w:rsid w:val="00CC1FB7"/>
    <w:rsid w:val="00CE121C"/>
    <w:rsid w:val="00CE2257"/>
    <w:rsid w:val="00D23EB0"/>
    <w:rsid w:val="00D318F1"/>
    <w:rsid w:val="00D4349B"/>
    <w:rsid w:val="00D45F62"/>
    <w:rsid w:val="00D82A51"/>
    <w:rsid w:val="00D92A71"/>
    <w:rsid w:val="00D95FE8"/>
    <w:rsid w:val="00DA44AB"/>
    <w:rsid w:val="00DB0822"/>
    <w:rsid w:val="00DB0F66"/>
    <w:rsid w:val="00DB232D"/>
    <w:rsid w:val="00DD0CD4"/>
    <w:rsid w:val="00DE038C"/>
    <w:rsid w:val="00DE2396"/>
    <w:rsid w:val="00DF4A48"/>
    <w:rsid w:val="00E05F07"/>
    <w:rsid w:val="00E11996"/>
    <w:rsid w:val="00E170EB"/>
    <w:rsid w:val="00E2001C"/>
    <w:rsid w:val="00E36DA5"/>
    <w:rsid w:val="00E473D4"/>
    <w:rsid w:val="00E7764F"/>
    <w:rsid w:val="00E86B1B"/>
    <w:rsid w:val="00EA5F37"/>
    <w:rsid w:val="00EF1795"/>
    <w:rsid w:val="00F03FFC"/>
    <w:rsid w:val="00F110E7"/>
    <w:rsid w:val="00F2593C"/>
    <w:rsid w:val="00F27C0A"/>
    <w:rsid w:val="00F347E6"/>
    <w:rsid w:val="00F4047D"/>
    <w:rsid w:val="00F74295"/>
    <w:rsid w:val="00F7645B"/>
    <w:rsid w:val="00F95EAA"/>
    <w:rsid w:val="00FA06F0"/>
    <w:rsid w:val="00F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17"/>
  </w:style>
  <w:style w:type="paragraph" w:styleId="Footer">
    <w:name w:val="footer"/>
    <w:basedOn w:val="Normal"/>
    <w:link w:val="FooterChar"/>
    <w:uiPriority w:val="99"/>
    <w:unhideWhenUsed/>
    <w:rsid w:val="00144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17"/>
  </w:style>
  <w:style w:type="table" w:styleId="TableGrid">
    <w:name w:val="Table Grid"/>
    <w:basedOn w:val="TableNormal"/>
    <w:uiPriority w:val="59"/>
    <w:rsid w:val="006C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52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5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F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6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17"/>
  </w:style>
  <w:style w:type="paragraph" w:styleId="Footer">
    <w:name w:val="footer"/>
    <w:basedOn w:val="Normal"/>
    <w:link w:val="FooterChar"/>
    <w:uiPriority w:val="99"/>
    <w:unhideWhenUsed/>
    <w:rsid w:val="00144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17"/>
  </w:style>
  <w:style w:type="table" w:styleId="TableGrid">
    <w:name w:val="Table Grid"/>
    <w:basedOn w:val="TableNormal"/>
    <w:uiPriority w:val="59"/>
    <w:rsid w:val="006C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52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5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F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8298</Characters>
  <Application>Microsoft Office Word</Application>
  <DocSecurity>4</DocSecurity>
  <Lines>230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PPD, Inc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Parsley</dc:creator>
  <cp:lastModifiedBy>VERBEIREN Isabelle (SANCO)</cp:lastModifiedBy>
  <cp:revision>2</cp:revision>
  <cp:lastPrinted>2016-09-23T08:59:00Z</cp:lastPrinted>
  <dcterms:created xsi:type="dcterms:W3CDTF">2016-10-04T13:05:00Z</dcterms:created>
  <dcterms:modified xsi:type="dcterms:W3CDTF">2016-10-04T13:05:00Z</dcterms:modified>
</cp:coreProperties>
</file>