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3DC088" w14:textId="77777777" w:rsidR="00420282" w:rsidRPr="00420282" w:rsidRDefault="00420282" w:rsidP="00420282">
      <w:pPr>
        <w:rPr>
          <w:b/>
          <w:sz w:val="28"/>
          <w:szCs w:val="28"/>
          <w:lang w:val="en-US"/>
        </w:rPr>
      </w:pPr>
      <w:bookmarkStart w:id="0" w:name="_GoBack"/>
      <w:bookmarkEnd w:id="0"/>
      <w:r w:rsidRPr="00420282">
        <w:rPr>
          <w:b/>
          <w:sz w:val="28"/>
          <w:szCs w:val="28"/>
          <w:lang w:val="en-US"/>
        </w:rPr>
        <w:t>ATMP working group Netherlands &amp; Belgium</w:t>
      </w:r>
    </w:p>
    <w:p w14:paraId="181021C3" w14:textId="77777777" w:rsidR="00C6705D" w:rsidRPr="008D3C48" w:rsidRDefault="008D3C48" w:rsidP="008D3C48">
      <w:pPr>
        <w:rPr>
          <w:b/>
          <w:lang w:val="en-US"/>
        </w:rPr>
      </w:pPr>
      <w:r w:rsidRPr="008D3C48">
        <w:rPr>
          <w:b/>
          <w:lang w:val="en-US"/>
        </w:rPr>
        <w:t>Response to Consultation Document “Good Manufacturing Practice for Advanced Therapy Medicinal Products”</w:t>
      </w:r>
    </w:p>
    <w:p w14:paraId="1E99C9F8" w14:textId="77777777" w:rsidR="007B1FEA" w:rsidRDefault="007B1FEA" w:rsidP="008D3C48">
      <w:pPr>
        <w:rPr>
          <w:lang w:val="en-US"/>
        </w:rPr>
      </w:pPr>
    </w:p>
    <w:p w14:paraId="3FB4FF2A" w14:textId="2C8693EA" w:rsidR="00AF0A9C" w:rsidRDefault="00AF0A9C" w:rsidP="008D3C48">
      <w:pPr>
        <w:rPr>
          <w:lang w:val="en-US"/>
        </w:rPr>
      </w:pPr>
      <w:r>
        <w:rPr>
          <w:lang w:val="en-US"/>
        </w:rPr>
        <w:t>General comments:</w:t>
      </w:r>
    </w:p>
    <w:p w14:paraId="69324C07" w14:textId="3D8A934F" w:rsidR="003D7B3E" w:rsidRPr="003D7B3E" w:rsidRDefault="003D7B3E" w:rsidP="008D3C48">
      <w:pPr>
        <w:rPr>
          <w:lang w:val="en-US"/>
        </w:rPr>
      </w:pPr>
      <w:r w:rsidRPr="003D7B3E">
        <w:rPr>
          <w:lang w:val="en-US"/>
        </w:rPr>
        <w:t>Since there is much overlap with existing GMP chapters and annexes, our working group would support a stakeholder meeting to discuss whether a stand-alone guideline for GMP for ATMP's or an annex to the existing GMP requirements would best address the needs of all involved stakeholders.</w:t>
      </w:r>
    </w:p>
    <w:p w14:paraId="41E54077" w14:textId="5A1C15B1" w:rsidR="00AF0A9C" w:rsidRDefault="003D7B3E" w:rsidP="008D3C48">
      <w:pPr>
        <w:rPr>
          <w:lang w:val="en-US"/>
        </w:rPr>
      </w:pPr>
      <w:r>
        <w:rPr>
          <w:lang w:val="en-US"/>
        </w:rPr>
        <w:t>This d</w:t>
      </w:r>
      <w:r w:rsidR="00AF0A9C">
        <w:rPr>
          <w:lang w:val="en-US"/>
        </w:rPr>
        <w:t xml:space="preserve">ocument is generally written for ATMP containing cells. </w:t>
      </w:r>
      <w:r w:rsidR="0049766A">
        <w:rPr>
          <w:lang w:val="en-US"/>
        </w:rPr>
        <w:t>Although viral vectors</w:t>
      </w:r>
      <w:r w:rsidR="00AF0A9C">
        <w:rPr>
          <w:lang w:val="en-US"/>
        </w:rPr>
        <w:t xml:space="preserve"> are mentioned</w:t>
      </w:r>
      <w:r>
        <w:rPr>
          <w:lang w:val="en-US"/>
        </w:rPr>
        <w:t>,</w:t>
      </w:r>
      <w:r w:rsidR="00AF0A9C">
        <w:rPr>
          <w:lang w:val="en-US"/>
        </w:rPr>
        <w:t xml:space="preserve"> most </w:t>
      </w:r>
      <w:r w:rsidR="0049766A">
        <w:rPr>
          <w:lang w:val="en-US"/>
        </w:rPr>
        <w:t xml:space="preserve">considerations and </w:t>
      </w:r>
      <w:r w:rsidR="002A1CB1">
        <w:rPr>
          <w:lang w:val="en-US"/>
        </w:rPr>
        <w:t>adjustments</w:t>
      </w:r>
      <w:r w:rsidR="0049766A">
        <w:rPr>
          <w:lang w:val="en-US"/>
        </w:rPr>
        <w:t xml:space="preserve"> to the GMP as existing are related to the use of cells in the product.</w:t>
      </w:r>
    </w:p>
    <w:p w14:paraId="78D80273" w14:textId="77777777" w:rsidR="003D7B3E" w:rsidRDefault="003D7B3E" w:rsidP="008D3C48">
      <w:pPr>
        <w:rPr>
          <w:lang w:val="en-US"/>
        </w:rPr>
      </w:pPr>
    </w:p>
    <w:tbl>
      <w:tblPr>
        <w:tblStyle w:val="TableGrid"/>
        <w:tblW w:w="0" w:type="auto"/>
        <w:tblLook w:val="04A0" w:firstRow="1" w:lastRow="0" w:firstColumn="1" w:lastColumn="0" w:noHBand="0" w:noVBand="1"/>
      </w:tblPr>
      <w:tblGrid>
        <w:gridCol w:w="1158"/>
        <w:gridCol w:w="3572"/>
        <w:gridCol w:w="3798"/>
      </w:tblGrid>
      <w:tr w:rsidR="008D3C48" w:rsidRPr="00736AB6" w14:paraId="086EFF9D" w14:textId="77777777" w:rsidTr="008D3C48">
        <w:trPr>
          <w:cantSplit/>
          <w:tblHeader/>
        </w:trPr>
        <w:tc>
          <w:tcPr>
            <w:tcW w:w="1158" w:type="dxa"/>
            <w:shd w:val="clear" w:color="auto" w:fill="D9D9D9" w:themeFill="background1" w:themeFillShade="D9"/>
          </w:tcPr>
          <w:p w14:paraId="1F42D003" w14:textId="77777777" w:rsidR="008D3C48" w:rsidRPr="00736AB6" w:rsidRDefault="008D3C48" w:rsidP="003D7B3E">
            <w:pPr>
              <w:rPr>
                <w:b/>
                <w:sz w:val="22"/>
                <w:szCs w:val="22"/>
              </w:rPr>
            </w:pPr>
            <w:r w:rsidRPr="00736AB6">
              <w:rPr>
                <w:b/>
                <w:sz w:val="22"/>
                <w:szCs w:val="22"/>
              </w:rPr>
              <w:t>Line</w:t>
            </w:r>
          </w:p>
        </w:tc>
        <w:tc>
          <w:tcPr>
            <w:tcW w:w="3572" w:type="dxa"/>
            <w:shd w:val="clear" w:color="auto" w:fill="D9D9D9" w:themeFill="background1" w:themeFillShade="D9"/>
          </w:tcPr>
          <w:p w14:paraId="6132CDF1" w14:textId="77777777" w:rsidR="008D3C48" w:rsidRPr="00736AB6" w:rsidRDefault="008D3C48" w:rsidP="003D7B3E">
            <w:pPr>
              <w:rPr>
                <w:b/>
                <w:sz w:val="22"/>
                <w:szCs w:val="22"/>
              </w:rPr>
            </w:pPr>
            <w:r w:rsidRPr="00736AB6">
              <w:rPr>
                <w:b/>
                <w:sz w:val="22"/>
                <w:szCs w:val="22"/>
              </w:rPr>
              <w:t>Current text</w:t>
            </w:r>
          </w:p>
        </w:tc>
        <w:tc>
          <w:tcPr>
            <w:tcW w:w="3798" w:type="dxa"/>
            <w:shd w:val="clear" w:color="auto" w:fill="D9D9D9" w:themeFill="background1" w:themeFillShade="D9"/>
          </w:tcPr>
          <w:p w14:paraId="751381FF" w14:textId="77777777" w:rsidR="008D3C48" w:rsidRPr="00736AB6" w:rsidRDefault="008D3C48" w:rsidP="003D7B3E">
            <w:pPr>
              <w:rPr>
                <w:b/>
                <w:sz w:val="22"/>
                <w:szCs w:val="22"/>
              </w:rPr>
            </w:pPr>
            <w:r w:rsidRPr="00736AB6">
              <w:rPr>
                <w:b/>
                <w:sz w:val="22"/>
                <w:szCs w:val="22"/>
              </w:rPr>
              <w:t>Proposal / Comment</w:t>
            </w:r>
          </w:p>
        </w:tc>
      </w:tr>
      <w:tr w:rsidR="008D3C48" w:rsidRPr="00736AB6" w14:paraId="48082CCD" w14:textId="77777777" w:rsidTr="008D3C48">
        <w:trPr>
          <w:cantSplit/>
          <w:tblHeader/>
        </w:trPr>
        <w:tc>
          <w:tcPr>
            <w:tcW w:w="1158" w:type="dxa"/>
          </w:tcPr>
          <w:p w14:paraId="2550D3C6" w14:textId="77777777" w:rsidR="008D3C48" w:rsidRPr="00736AB6" w:rsidRDefault="008D3C48" w:rsidP="003D7B3E">
            <w:pPr>
              <w:rPr>
                <w:sz w:val="22"/>
                <w:szCs w:val="22"/>
              </w:rPr>
            </w:pPr>
            <w:r w:rsidRPr="00736AB6">
              <w:rPr>
                <w:sz w:val="22"/>
                <w:szCs w:val="22"/>
              </w:rPr>
              <w:t>167</w:t>
            </w:r>
          </w:p>
        </w:tc>
        <w:tc>
          <w:tcPr>
            <w:tcW w:w="3572" w:type="dxa"/>
          </w:tcPr>
          <w:p w14:paraId="28D90D13" w14:textId="77777777" w:rsidR="008D3C48" w:rsidRPr="00736AB6" w:rsidRDefault="008D3C48" w:rsidP="003D7B3E">
            <w:pPr>
              <w:rPr>
                <w:sz w:val="22"/>
                <w:szCs w:val="22"/>
              </w:rPr>
            </w:pPr>
            <w:r w:rsidRPr="00736AB6">
              <w:rPr>
                <w:sz w:val="22"/>
                <w:szCs w:val="22"/>
              </w:rPr>
              <w:t>operators</w:t>
            </w:r>
          </w:p>
        </w:tc>
        <w:tc>
          <w:tcPr>
            <w:tcW w:w="3798" w:type="dxa"/>
          </w:tcPr>
          <w:p w14:paraId="29D769F2" w14:textId="77777777" w:rsidR="008D3C48" w:rsidRPr="00736AB6" w:rsidRDefault="008D3C48" w:rsidP="003D7B3E">
            <w:pPr>
              <w:rPr>
                <w:sz w:val="22"/>
                <w:szCs w:val="22"/>
              </w:rPr>
            </w:pPr>
            <w:r w:rsidRPr="00736AB6">
              <w:rPr>
                <w:sz w:val="22"/>
                <w:szCs w:val="22"/>
              </w:rPr>
              <w:t>manufacturers</w:t>
            </w:r>
          </w:p>
        </w:tc>
      </w:tr>
      <w:tr w:rsidR="008D3C48" w:rsidRPr="00E02208" w14:paraId="7C77F625" w14:textId="77777777" w:rsidTr="008D3C48">
        <w:trPr>
          <w:cantSplit/>
          <w:tblHeader/>
        </w:trPr>
        <w:tc>
          <w:tcPr>
            <w:tcW w:w="1158" w:type="dxa"/>
          </w:tcPr>
          <w:p w14:paraId="7CAB7DAD" w14:textId="77777777" w:rsidR="008D3C48" w:rsidRPr="00736AB6" w:rsidRDefault="008D3C48" w:rsidP="003D7B3E">
            <w:pPr>
              <w:rPr>
                <w:sz w:val="22"/>
                <w:szCs w:val="22"/>
              </w:rPr>
            </w:pPr>
            <w:r w:rsidRPr="00736AB6">
              <w:rPr>
                <w:sz w:val="22"/>
                <w:szCs w:val="22"/>
              </w:rPr>
              <w:t>203</w:t>
            </w:r>
          </w:p>
        </w:tc>
        <w:tc>
          <w:tcPr>
            <w:tcW w:w="3572" w:type="dxa"/>
          </w:tcPr>
          <w:p w14:paraId="5A014172" w14:textId="77777777" w:rsidR="008D3C48" w:rsidRPr="00736AB6" w:rsidRDefault="008D3C48" w:rsidP="003D7B3E">
            <w:pPr>
              <w:rPr>
                <w:sz w:val="22"/>
                <w:szCs w:val="22"/>
                <w:lang w:val="en-US"/>
              </w:rPr>
            </w:pPr>
            <w:r w:rsidRPr="00736AB6">
              <w:rPr>
                <w:sz w:val="22"/>
                <w:szCs w:val="22"/>
                <w:lang w:val="en-US"/>
              </w:rPr>
              <w:t>It is strongly encouraged that the advice of the competent authorities is sought for implementation of the risk based approach</w:t>
            </w:r>
          </w:p>
        </w:tc>
        <w:tc>
          <w:tcPr>
            <w:tcW w:w="3798" w:type="dxa"/>
          </w:tcPr>
          <w:p w14:paraId="7D3885F5" w14:textId="77777777" w:rsidR="008D3C48" w:rsidRPr="00736AB6" w:rsidRDefault="008D3C48" w:rsidP="003D7B3E">
            <w:pPr>
              <w:rPr>
                <w:sz w:val="22"/>
                <w:szCs w:val="22"/>
                <w:lang w:val="en-US"/>
              </w:rPr>
            </w:pPr>
            <w:r w:rsidRPr="00736AB6">
              <w:rPr>
                <w:sz w:val="22"/>
                <w:szCs w:val="22"/>
                <w:lang w:val="en-US"/>
              </w:rPr>
              <w:t>Is this considered a GMP matter, hence should we reach out to our GMP inspectorate? Isn’t there a possibility that this will lead to different levels of acceptance in different member states?</w:t>
            </w:r>
          </w:p>
        </w:tc>
      </w:tr>
      <w:tr w:rsidR="008D3C48" w:rsidRPr="00E02208" w14:paraId="2FD17C90" w14:textId="77777777" w:rsidTr="008D3C48">
        <w:trPr>
          <w:cantSplit/>
          <w:tblHeader/>
        </w:trPr>
        <w:tc>
          <w:tcPr>
            <w:tcW w:w="1158" w:type="dxa"/>
          </w:tcPr>
          <w:p w14:paraId="212AEA3F" w14:textId="77777777" w:rsidR="008D3C48" w:rsidRPr="00736AB6" w:rsidRDefault="008D3C48" w:rsidP="003D7B3E">
            <w:pPr>
              <w:rPr>
                <w:sz w:val="22"/>
                <w:szCs w:val="22"/>
              </w:rPr>
            </w:pPr>
            <w:r w:rsidRPr="00736AB6">
              <w:rPr>
                <w:sz w:val="22"/>
                <w:szCs w:val="22"/>
              </w:rPr>
              <w:t>284 ev</w:t>
            </w:r>
          </w:p>
        </w:tc>
        <w:tc>
          <w:tcPr>
            <w:tcW w:w="3572" w:type="dxa"/>
          </w:tcPr>
          <w:p w14:paraId="06692FA8" w14:textId="77777777" w:rsidR="008D3C48" w:rsidRPr="00736AB6" w:rsidRDefault="008D3C48" w:rsidP="003D7B3E">
            <w:pPr>
              <w:autoSpaceDE w:val="0"/>
              <w:autoSpaceDN w:val="0"/>
              <w:adjustRightInd w:val="0"/>
              <w:rPr>
                <w:rFonts w:cs="Times New Roman"/>
                <w:color w:val="000000"/>
                <w:sz w:val="22"/>
                <w:szCs w:val="22"/>
                <w:lang w:val="en-US"/>
              </w:rPr>
            </w:pPr>
            <w:r w:rsidRPr="00736AB6">
              <w:rPr>
                <w:rFonts w:eastAsiaTheme="minorHAnsi" w:cs="Times New Roman"/>
                <w:color w:val="000000"/>
                <w:sz w:val="22"/>
                <w:szCs w:val="22"/>
                <w:lang w:val="en-US" w:eastAsia="en-US"/>
              </w:rPr>
              <w:t xml:space="preserve">With a view to avoid unnecessary administrative burden, in the application of the GMP </w:t>
            </w:r>
            <w:r w:rsidRPr="00736AB6">
              <w:rPr>
                <w:rFonts w:eastAsiaTheme="minorHAnsi" w:cs="Calibri"/>
                <w:color w:val="000000"/>
                <w:sz w:val="22"/>
                <w:szCs w:val="22"/>
                <w:lang w:val="en-US" w:eastAsia="en-US"/>
              </w:rPr>
              <w:t xml:space="preserve"> </w:t>
            </w:r>
            <w:r w:rsidRPr="00736AB6">
              <w:rPr>
                <w:rFonts w:eastAsiaTheme="minorHAnsi" w:cs="Times New Roman"/>
                <w:color w:val="000000"/>
                <w:sz w:val="22"/>
                <w:szCs w:val="22"/>
                <w:lang w:val="en-US" w:eastAsia="en-US"/>
              </w:rPr>
              <w:t>requirements to ATMPs the manufacturing process of which does not involve substantial</w:t>
            </w:r>
            <w:r w:rsidRPr="00736AB6">
              <w:rPr>
                <w:rFonts w:eastAsiaTheme="minorHAnsi" w:cs="Calibri"/>
                <w:color w:val="000000"/>
                <w:sz w:val="22"/>
                <w:szCs w:val="22"/>
                <w:lang w:val="en-US" w:eastAsia="en-US"/>
              </w:rPr>
              <w:t xml:space="preserve"> </w:t>
            </w:r>
            <w:r w:rsidRPr="00736AB6">
              <w:rPr>
                <w:rFonts w:eastAsiaTheme="minorHAnsi" w:cs="Times New Roman"/>
                <w:color w:val="000000"/>
                <w:sz w:val="22"/>
                <w:szCs w:val="22"/>
                <w:lang w:val="en-US" w:eastAsia="en-US"/>
              </w:rPr>
              <w:t>manipulation, account may be taken of equivalent standards that are applied by ATMP manufacturers in compliance with other legislative frameworks.</w:t>
            </w:r>
          </w:p>
        </w:tc>
        <w:tc>
          <w:tcPr>
            <w:tcW w:w="3798" w:type="dxa"/>
          </w:tcPr>
          <w:p w14:paraId="0C55FF6D" w14:textId="77777777" w:rsidR="006F7A82" w:rsidRPr="00736AB6" w:rsidRDefault="008D3C48" w:rsidP="003D7B3E">
            <w:pPr>
              <w:rPr>
                <w:sz w:val="22"/>
                <w:szCs w:val="22"/>
                <w:lang w:val="en-US"/>
              </w:rPr>
            </w:pPr>
            <w:r w:rsidRPr="00736AB6">
              <w:rPr>
                <w:sz w:val="22"/>
                <w:szCs w:val="22"/>
                <w:lang w:val="en-US"/>
              </w:rPr>
              <w:t xml:space="preserve">We are happy that flexibility with regard to non-substantial manipulation is included in this guideline. </w:t>
            </w:r>
          </w:p>
          <w:p w14:paraId="5A349F56" w14:textId="77777777" w:rsidR="008D3C48" w:rsidRPr="00736AB6" w:rsidRDefault="008D3C48" w:rsidP="003D7B3E">
            <w:pPr>
              <w:rPr>
                <w:sz w:val="22"/>
                <w:szCs w:val="22"/>
                <w:lang w:val="en-US"/>
              </w:rPr>
            </w:pPr>
            <w:r w:rsidRPr="00736AB6">
              <w:rPr>
                <w:sz w:val="22"/>
                <w:szCs w:val="22"/>
                <w:lang w:val="en-US"/>
              </w:rPr>
              <w:t xml:space="preserve">However, it is not </w:t>
            </w:r>
            <w:r w:rsidR="006F7A82" w:rsidRPr="00736AB6">
              <w:rPr>
                <w:sz w:val="22"/>
                <w:szCs w:val="22"/>
                <w:lang w:val="en-US"/>
              </w:rPr>
              <w:t xml:space="preserve">completely </w:t>
            </w:r>
            <w:r w:rsidRPr="00736AB6">
              <w:rPr>
                <w:sz w:val="22"/>
                <w:szCs w:val="22"/>
                <w:lang w:val="en-US"/>
              </w:rPr>
              <w:t>clear</w:t>
            </w:r>
            <w:r w:rsidR="006F7A82" w:rsidRPr="00736AB6">
              <w:rPr>
                <w:sz w:val="22"/>
                <w:szCs w:val="22"/>
                <w:lang w:val="en-US"/>
              </w:rPr>
              <w:t xml:space="preserve"> from this section and the sections below</w:t>
            </w:r>
            <w:r w:rsidRPr="00736AB6">
              <w:rPr>
                <w:sz w:val="22"/>
                <w:szCs w:val="22"/>
                <w:lang w:val="en-US"/>
              </w:rPr>
              <w:t xml:space="preserve"> </w:t>
            </w:r>
            <w:r w:rsidR="006F7A82" w:rsidRPr="00736AB6">
              <w:rPr>
                <w:sz w:val="22"/>
                <w:szCs w:val="22"/>
                <w:lang w:val="en-US"/>
              </w:rPr>
              <w:t>to what extend this flexibility is possible, i.e. does it also involve the release process or analytical testing?</w:t>
            </w:r>
          </w:p>
        </w:tc>
      </w:tr>
      <w:tr w:rsidR="008D3C48" w:rsidRPr="00E02208" w14:paraId="14DEABD9" w14:textId="77777777" w:rsidTr="008D3C48">
        <w:trPr>
          <w:cantSplit/>
          <w:tblHeader/>
        </w:trPr>
        <w:tc>
          <w:tcPr>
            <w:tcW w:w="1158" w:type="dxa"/>
          </w:tcPr>
          <w:p w14:paraId="12A45D62" w14:textId="77777777" w:rsidR="008D3C48" w:rsidRPr="00736AB6" w:rsidRDefault="008D3C48" w:rsidP="003D7B3E">
            <w:pPr>
              <w:rPr>
                <w:sz w:val="22"/>
                <w:szCs w:val="22"/>
                <w:lang w:val="en-US"/>
              </w:rPr>
            </w:pPr>
            <w:r w:rsidRPr="00736AB6">
              <w:rPr>
                <w:sz w:val="22"/>
                <w:szCs w:val="22"/>
                <w:lang w:val="en-US"/>
              </w:rPr>
              <w:t>291</w:t>
            </w:r>
          </w:p>
        </w:tc>
        <w:tc>
          <w:tcPr>
            <w:tcW w:w="3572" w:type="dxa"/>
          </w:tcPr>
          <w:p w14:paraId="469F2D80" w14:textId="42733993" w:rsidR="008D3C48" w:rsidRPr="00736AB6" w:rsidRDefault="008D3C48" w:rsidP="003D7B3E">
            <w:pPr>
              <w:rPr>
                <w:sz w:val="22"/>
                <w:szCs w:val="22"/>
                <w:lang w:val="en-US"/>
              </w:rPr>
            </w:pPr>
            <w:r w:rsidRPr="00736AB6">
              <w:rPr>
                <w:sz w:val="22"/>
                <w:szCs w:val="22"/>
                <w:lang w:val="en-US"/>
              </w:rPr>
              <w:t>However, premises/equipment used to process cells/tissues under the same surgical procedure</w:t>
            </w:r>
            <w:r w:rsidRPr="00736AB6">
              <w:rPr>
                <w:rFonts w:cs="Calibri"/>
                <w:sz w:val="22"/>
                <w:szCs w:val="22"/>
                <w:lang w:val="en-US"/>
              </w:rPr>
              <w:t xml:space="preserve"> </w:t>
            </w:r>
            <w:r w:rsidRPr="00736AB6">
              <w:rPr>
                <w:sz w:val="22"/>
                <w:szCs w:val="22"/>
                <w:lang w:val="en-US"/>
              </w:rPr>
              <w:t>derogation or for research purposes should be validated in accordance with these Guidelines</w:t>
            </w:r>
          </w:p>
        </w:tc>
        <w:tc>
          <w:tcPr>
            <w:tcW w:w="3798" w:type="dxa"/>
          </w:tcPr>
          <w:p w14:paraId="63A16A7A" w14:textId="77777777" w:rsidR="007F50E2" w:rsidRPr="00736AB6" w:rsidRDefault="008D3C48" w:rsidP="003D7B3E">
            <w:pPr>
              <w:rPr>
                <w:sz w:val="22"/>
                <w:szCs w:val="22"/>
                <w:lang w:val="en-US"/>
              </w:rPr>
            </w:pPr>
            <w:r w:rsidRPr="00736AB6">
              <w:rPr>
                <w:sz w:val="22"/>
                <w:szCs w:val="22"/>
                <w:lang w:val="en-US"/>
              </w:rPr>
              <w:t xml:space="preserve">What is meant with “these Guidelines”? </w:t>
            </w:r>
            <w:r w:rsidR="007F50E2" w:rsidRPr="00736AB6">
              <w:rPr>
                <w:sz w:val="22"/>
                <w:szCs w:val="22"/>
                <w:lang w:val="en-US"/>
              </w:rPr>
              <w:t>Please clarify.</w:t>
            </w:r>
          </w:p>
          <w:p w14:paraId="427EC880" w14:textId="77777777" w:rsidR="008D3C48" w:rsidRPr="00736AB6" w:rsidRDefault="008D3C48" w:rsidP="003D7B3E">
            <w:pPr>
              <w:rPr>
                <w:sz w:val="22"/>
                <w:szCs w:val="22"/>
                <w:lang w:val="en-US"/>
              </w:rPr>
            </w:pPr>
            <w:r w:rsidRPr="00736AB6">
              <w:rPr>
                <w:sz w:val="22"/>
                <w:szCs w:val="22"/>
                <w:lang w:val="en-US"/>
              </w:rPr>
              <w:t>We assume that these are the equivalent standards/other legislative framework. If not, request to remove this sentence as most operating theatres have not been designed nor built to meet Annex 1 requirements.</w:t>
            </w:r>
          </w:p>
        </w:tc>
      </w:tr>
      <w:tr w:rsidR="008D3C48" w:rsidRPr="00E02208" w14:paraId="332F6B2A" w14:textId="77777777" w:rsidTr="008D3C48">
        <w:trPr>
          <w:cantSplit/>
          <w:tblHeader/>
        </w:trPr>
        <w:tc>
          <w:tcPr>
            <w:tcW w:w="1158" w:type="dxa"/>
          </w:tcPr>
          <w:p w14:paraId="3D73530A" w14:textId="77777777" w:rsidR="008D3C48" w:rsidRPr="00736AB6" w:rsidRDefault="008D3C48" w:rsidP="003D7B3E">
            <w:pPr>
              <w:rPr>
                <w:sz w:val="22"/>
                <w:szCs w:val="22"/>
              </w:rPr>
            </w:pPr>
            <w:r w:rsidRPr="00736AB6">
              <w:rPr>
                <w:sz w:val="22"/>
                <w:szCs w:val="22"/>
              </w:rPr>
              <w:lastRenderedPageBreak/>
              <w:t>299</w:t>
            </w:r>
          </w:p>
        </w:tc>
        <w:tc>
          <w:tcPr>
            <w:tcW w:w="3572" w:type="dxa"/>
          </w:tcPr>
          <w:p w14:paraId="0C456ABF" w14:textId="77777777" w:rsidR="008D3C48" w:rsidRPr="00736AB6" w:rsidRDefault="008D3C48" w:rsidP="003D7B3E">
            <w:pPr>
              <w:rPr>
                <w:sz w:val="22"/>
                <w:szCs w:val="22"/>
                <w:lang w:val="en-US"/>
              </w:rPr>
            </w:pPr>
            <w:r w:rsidRPr="00736AB6">
              <w:rPr>
                <w:sz w:val="22"/>
                <w:szCs w:val="22"/>
                <w:lang w:val="en-US"/>
              </w:rPr>
              <w:t>When manufacturing (…)</w:t>
            </w:r>
            <w:r w:rsidR="00420282" w:rsidRPr="00736AB6">
              <w:rPr>
                <w:sz w:val="22"/>
                <w:szCs w:val="22"/>
                <w:lang w:val="en-US"/>
              </w:rPr>
              <w:t xml:space="preserve"> </w:t>
            </w:r>
            <w:r w:rsidRPr="00736AB6">
              <w:rPr>
                <w:sz w:val="22"/>
                <w:szCs w:val="22"/>
                <w:lang w:val="en-US"/>
              </w:rPr>
              <w:t>in premises other than a critical room of grade A in a background clean area of grade B, a risk-analysis study should be conducted</w:t>
            </w:r>
          </w:p>
        </w:tc>
        <w:tc>
          <w:tcPr>
            <w:tcW w:w="3798" w:type="dxa"/>
          </w:tcPr>
          <w:p w14:paraId="5E1CD922" w14:textId="77777777" w:rsidR="008D3C48" w:rsidRPr="00736AB6" w:rsidRDefault="008D3C48" w:rsidP="003D7B3E">
            <w:pPr>
              <w:rPr>
                <w:sz w:val="22"/>
                <w:szCs w:val="22"/>
                <w:lang w:val="en-US"/>
              </w:rPr>
            </w:pPr>
            <w:r w:rsidRPr="00736AB6">
              <w:rPr>
                <w:sz w:val="22"/>
                <w:szCs w:val="22"/>
                <w:lang w:val="en-US"/>
              </w:rPr>
              <w:t>Is this applicable only for ATMPs that are not subject to substantial manipulation or can this view be extended?</w:t>
            </w:r>
          </w:p>
          <w:p w14:paraId="13C2CC97" w14:textId="7ACC5175" w:rsidR="008D3C48" w:rsidRPr="00736AB6" w:rsidRDefault="007F50E2" w:rsidP="003D7B3E">
            <w:pPr>
              <w:rPr>
                <w:sz w:val="22"/>
                <w:szCs w:val="22"/>
                <w:lang w:val="en-US"/>
              </w:rPr>
            </w:pPr>
            <w:r w:rsidRPr="00736AB6">
              <w:rPr>
                <w:sz w:val="22"/>
                <w:szCs w:val="22"/>
                <w:lang w:val="en-US"/>
              </w:rPr>
              <w:t>In general, exceptions to the requirements for premises are discussed in several sections in this documents</w:t>
            </w:r>
            <w:r w:rsidR="008D3C48" w:rsidRPr="00736AB6">
              <w:rPr>
                <w:sz w:val="22"/>
                <w:szCs w:val="22"/>
                <w:lang w:val="en-US"/>
              </w:rPr>
              <w:t xml:space="preserve"> </w:t>
            </w:r>
            <w:r w:rsidRPr="00736AB6">
              <w:rPr>
                <w:sz w:val="22"/>
                <w:szCs w:val="22"/>
                <w:lang w:val="en-US"/>
              </w:rPr>
              <w:t>which is confusing</w:t>
            </w:r>
          </w:p>
        </w:tc>
      </w:tr>
      <w:tr w:rsidR="008D3C48" w:rsidRPr="00E02208" w14:paraId="64072AA1" w14:textId="77777777" w:rsidTr="008D3C48">
        <w:trPr>
          <w:cantSplit/>
          <w:tblHeader/>
        </w:trPr>
        <w:tc>
          <w:tcPr>
            <w:tcW w:w="1158" w:type="dxa"/>
          </w:tcPr>
          <w:p w14:paraId="3D2EE77A" w14:textId="77777777" w:rsidR="008D3C48" w:rsidRPr="00736AB6" w:rsidRDefault="008D3C48" w:rsidP="003D7B3E">
            <w:pPr>
              <w:rPr>
                <w:sz w:val="22"/>
                <w:szCs w:val="22"/>
              </w:rPr>
            </w:pPr>
            <w:r w:rsidRPr="00736AB6">
              <w:rPr>
                <w:sz w:val="22"/>
                <w:szCs w:val="22"/>
              </w:rPr>
              <w:t>311</w:t>
            </w:r>
          </w:p>
        </w:tc>
        <w:tc>
          <w:tcPr>
            <w:tcW w:w="3572" w:type="dxa"/>
          </w:tcPr>
          <w:p w14:paraId="4B72F628" w14:textId="0B5DF76F" w:rsidR="008D3C48" w:rsidRPr="00736AB6" w:rsidRDefault="008D3C48" w:rsidP="003D7B3E">
            <w:pPr>
              <w:rPr>
                <w:sz w:val="22"/>
                <w:szCs w:val="22"/>
                <w:lang w:val="en-US"/>
              </w:rPr>
            </w:pPr>
            <w:r w:rsidRPr="00736AB6">
              <w:rPr>
                <w:sz w:val="22"/>
                <w:szCs w:val="22"/>
                <w:lang w:val="en-US"/>
              </w:rPr>
              <w:t>QP release is an essential requirement applicable to all medicinal products,</w:t>
            </w:r>
            <w:r w:rsidRPr="00736AB6">
              <w:rPr>
                <w:rFonts w:cs="Calibri"/>
                <w:sz w:val="22"/>
                <w:szCs w:val="22"/>
                <w:lang w:val="en-US"/>
              </w:rPr>
              <w:t xml:space="preserve"> </w:t>
            </w:r>
            <w:r w:rsidRPr="00736AB6">
              <w:rPr>
                <w:sz w:val="22"/>
                <w:szCs w:val="22"/>
                <w:u w:val="single"/>
                <w:lang w:val="en-US"/>
              </w:rPr>
              <w:t xml:space="preserve">including </w:t>
            </w:r>
            <w:r w:rsidR="00027F6A" w:rsidRPr="00736AB6">
              <w:rPr>
                <w:sz w:val="22"/>
                <w:szCs w:val="22"/>
                <w:u w:val="single"/>
                <w:lang w:val="en-US"/>
              </w:rPr>
              <w:t>authorized</w:t>
            </w:r>
            <w:r w:rsidRPr="00736AB6">
              <w:rPr>
                <w:sz w:val="22"/>
                <w:szCs w:val="22"/>
                <w:u w:val="single"/>
                <w:lang w:val="en-US"/>
              </w:rPr>
              <w:t xml:space="preserve"> and investigational ATMPs the manufacturing of which does not involve</w:t>
            </w:r>
            <w:r w:rsidRPr="00736AB6">
              <w:rPr>
                <w:rFonts w:cs="Calibri"/>
                <w:sz w:val="22"/>
                <w:szCs w:val="22"/>
                <w:u w:val="single"/>
                <w:lang w:val="en-US"/>
              </w:rPr>
              <w:t xml:space="preserve"> </w:t>
            </w:r>
            <w:r w:rsidRPr="00736AB6">
              <w:rPr>
                <w:sz w:val="22"/>
                <w:szCs w:val="22"/>
                <w:u w:val="single"/>
                <w:lang w:val="en-US"/>
              </w:rPr>
              <w:t>substantial manipulation</w:t>
            </w:r>
          </w:p>
        </w:tc>
        <w:tc>
          <w:tcPr>
            <w:tcW w:w="3798" w:type="dxa"/>
          </w:tcPr>
          <w:p w14:paraId="145A3746" w14:textId="77777777" w:rsidR="008D3C48" w:rsidRPr="00736AB6" w:rsidRDefault="007F50E2" w:rsidP="003D7B3E">
            <w:pPr>
              <w:rPr>
                <w:sz w:val="22"/>
                <w:szCs w:val="22"/>
                <w:lang w:val="en-US"/>
              </w:rPr>
            </w:pPr>
            <w:r w:rsidRPr="00736AB6">
              <w:rPr>
                <w:sz w:val="22"/>
                <w:szCs w:val="22"/>
                <w:lang w:val="en-US"/>
              </w:rPr>
              <w:t>This seems to be in contradiction with the text in line 284 and further. If production takes place in compliance with other legislative frameworks, then it should also be possible to perform the release accor</w:t>
            </w:r>
            <w:r w:rsidR="00D7516D" w:rsidRPr="00736AB6">
              <w:rPr>
                <w:sz w:val="22"/>
                <w:szCs w:val="22"/>
                <w:lang w:val="en-US"/>
              </w:rPr>
              <w:t>ding to these other guidelines.</w:t>
            </w:r>
          </w:p>
        </w:tc>
      </w:tr>
      <w:tr w:rsidR="008D3C48" w:rsidRPr="00E02208" w14:paraId="6D2B48D5" w14:textId="77777777" w:rsidTr="008D3C48">
        <w:trPr>
          <w:cantSplit/>
          <w:tblHeader/>
        </w:trPr>
        <w:tc>
          <w:tcPr>
            <w:tcW w:w="1158" w:type="dxa"/>
          </w:tcPr>
          <w:p w14:paraId="01FB5728" w14:textId="77777777" w:rsidR="008D3C48" w:rsidRPr="00736AB6" w:rsidRDefault="008D3C48" w:rsidP="003D7B3E">
            <w:pPr>
              <w:rPr>
                <w:sz w:val="22"/>
                <w:szCs w:val="22"/>
              </w:rPr>
            </w:pPr>
            <w:r w:rsidRPr="00736AB6">
              <w:rPr>
                <w:sz w:val="22"/>
                <w:szCs w:val="22"/>
              </w:rPr>
              <w:t>322</w:t>
            </w:r>
          </w:p>
        </w:tc>
        <w:tc>
          <w:tcPr>
            <w:tcW w:w="3572" w:type="dxa"/>
          </w:tcPr>
          <w:p w14:paraId="224B45E4" w14:textId="77777777" w:rsidR="008D3C48" w:rsidRPr="00736AB6" w:rsidRDefault="008D3C48" w:rsidP="003D7B3E">
            <w:pPr>
              <w:rPr>
                <w:sz w:val="22"/>
                <w:szCs w:val="22"/>
              </w:rPr>
            </w:pPr>
          </w:p>
        </w:tc>
        <w:tc>
          <w:tcPr>
            <w:tcW w:w="3798" w:type="dxa"/>
          </w:tcPr>
          <w:p w14:paraId="3CC503B0" w14:textId="2EEA0F9A" w:rsidR="008D3C48" w:rsidRPr="00736AB6" w:rsidRDefault="00D7516D" w:rsidP="003D7B3E">
            <w:pPr>
              <w:rPr>
                <w:sz w:val="22"/>
                <w:szCs w:val="22"/>
                <w:lang w:val="en-US"/>
              </w:rPr>
            </w:pPr>
            <w:r w:rsidRPr="00736AB6">
              <w:rPr>
                <w:sz w:val="22"/>
                <w:szCs w:val="22"/>
                <w:lang w:val="en-US"/>
              </w:rPr>
              <w:t>exceptions to the requirements for premises are discussed in several sections in this documents which is confusing</w:t>
            </w:r>
          </w:p>
        </w:tc>
      </w:tr>
      <w:tr w:rsidR="008D3C48" w:rsidRPr="00E02208" w14:paraId="31B22D27" w14:textId="77777777" w:rsidTr="008D3C48">
        <w:trPr>
          <w:cantSplit/>
          <w:tblHeader/>
        </w:trPr>
        <w:tc>
          <w:tcPr>
            <w:tcW w:w="1158" w:type="dxa"/>
          </w:tcPr>
          <w:p w14:paraId="309601AD" w14:textId="77777777" w:rsidR="008D3C48" w:rsidRPr="00736AB6" w:rsidRDefault="008D3C48" w:rsidP="003D7B3E">
            <w:pPr>
              <w:rPr>
                <w:sz w:val="22"/>
                <w:szCs w:val="22"/>
              </w:rPr>
            </w:pPr>
            <w:r w:rsidRPr="00736AB6">
              <w:rPr>
                <w:sz w:val="22"/>
                <w:szCs w:val="22"/>
              </w:rPr>
              <w:t>469</w:t>
            </w:r>
          </w:p>
        </w:tc>
        <w:tc>
          <w:tcPr>
            <w:tcW w:w="3572" w:type="dxa"/>
          </w:tcPr>
          <w:p w14:paraId="05CB0BB7" w14:textId="77777777" w:rsidR="008D3C48" w:rsidRPr="00736AB6" w:rsidRDefault="008D3C48" w:rsidP="003D7B3E">
            <w:pPr>
              <w:rPr>
                <w:sz w:val="22"/>
                <w:szCs w:val="22"/>
                <w:lang w:val="en-US"/>
              </w:rPr>
            </w:pPr>
            <w:r w:rsidRPr="00736AB6">
              <w:rPr>
                <w:sz w:val="22"/>
                <w:szCs w:val="22"/>
                <w:lang w:val="en-US"/>
              </w:rPr>
              <w:t>materials from infected donors should be done in a segregated area.</w:t>
            </w:r>
          </w:p>
        </w:tc>
        <w:tc>
          <w:tcPr>
            <w:tcW w:w="3798" w:type="dxa"/>
          </w:tcPr>
          <w:p w14:paraId="7686DB3F" w14:textId="4CD04C8C" w:rsidR="003D7B3E" w:rsidRPr="00736AB6" w:rsidRDefault="008D3C48" w:rsidP="003D7B3E">
            <w:pPr>
              <w:rPr>
                <w:sz w:val="22"/>
                <w:szCs w:val="22"/>
                <w:lang w:val="en-US"/>
              </w:rPr>
            </w:pPr>
            <w:r w:rsidRPr="00736AB6">
              <w:rPr>
                <w:sz w:val="22"/>
                <w:szCs w:val="22"/>
                <w:lang w:val="en-US"/>
              </w:rPr>
              <w:t xml:space="preserve">Would this apply only to studies that target infected donors? There is an important difference in risk between working with HepB infected donors and the use of </w:t>
            </w:r>
            <w:r w:rsidR="00027F6A" w:rsidRPr="00736AB6">
              <w:rPr>
                <w:sz w:val="22"/>
                <w:szCs w:val="22"/>
                <w:lang w:val="en-US"/>
              </w:rPr>
              <w:t>infectious</w:t>
            </w:r>
            <w:r w:rsidRPr="00736AB6">
              <w:rPr>
                <w:sz w:val="22"/>
                <w:szCs w:val="22"/>
                <w:lang w:val="en-US"/>
              </w:rPr>
              <w:t xml:space="preserve"> viral vectors</w:t>
            </w:r>
            <w:r w:rsidR="003D7B3E" w:rsidRPr="00736AB6">
              <w:rPr>
                <w:sz w:val="22"/>
                <w:szCs w:val="22"/>
                <w:lang w:val="en-US"/>
              </w:rPr>
              <w:t xml:space="preserve"> or HIV infected material</w:t>
            </w:r>
            <w:r w:rsidRPr="00736AB6">
              <w:rPr>
                <w:sz w:val="22"/>
                <w:szCs w:val="22"/>
                <w:lang w:val="en-US"/>
              </w:rPr>
              <w:t xml:space="preserve">. </w:t>
            </w:r>
          </w:p>
          <w:p w14:paraId="13F8250D" w14:textId="2373FD1B" w:rsidR="008D3C48" w:rsidRPr="00736AB6" w:rsidRDefault="008D3C48" w:rsidP="003D7B3E">
            <w:pPr>
              <w:rPr>
                <w:sz w:val="22"/>
                <w:szCs w:val="22"/>
                <w:lang w:val="en-US"/>
              </w:rPr>
            </w:pPr>
            <w:r w:rsidRPr="00736AB6">
              <w:rPr>
                <w:sz w:val="22"/>
                <w:szCs w:val="22"/>
                <w:lang w:val="en-US"/>
              </w:rPr>
              <w:t xml:space="preserve">We suggest to </w:t>
            </w:r>
            <w:r w:rsidR="003D7B3E" w:rsidRPr="00736AB6">
              <w:rPr>
                <w:sz w:val="22"/>
                <w:szCs w:val="22"/>
                <w:lang w:val="en-US"/>
              </w:rPr>
              <w:t xml:space="preserve">add “if necessary based on a risk assessment for the specific product” in order to allow for some flexibility. </w:t>
            </w:r>
          </w:p>
        </w:tc>
      </w:tr>
      <w:tr w:rsidR="008D3C48" w:rsidRPr="00E02208" w14:paraId="3CF976CF" w14:textId="77777777" w:rsidTr="008D3C48">
        <w:trPr>
          <w:cantSplit/>
          <w:tblHeader/>
        </w:trPr>
        <w:tc>
          <w:tcPr>
            <w:tcW w:w="1158" w:type="dxa"/>
          </w:tcPr>
          <w:p w14:paraId="1B7B0B4F" w14:textId="77777777" w:rsidR="008D3C48" w:rsidRPr="00736AB6" w:rsidRDefault="00FE4956" w:rsidP="003D7B3E">
            <w:pPr>
              <w:rPr>
                <w:sz w:val="22"/>
                <w:szCs w:val="22"/>
              </w:rPr>
            </w:pPr>
            <w:r w:rsidRPr="00736AB6">
              <w:rPr>
                <w:sz w:val="22"/>
                <w:szCs w:val="22"/>
              </w:rPr>
              <w:t>520</w:t>
            </w:r>
          </w:p>
        </w:tc>
        <w:tc>
          <w:tcPr>
            <w:tcW w:w="3572" w:type="dxa"/>
          </w:tcPr>
          <w:p w14:paraId="5A6D9CE1" w14:textId="77777777" w:rsidR="008D3C48" w:rsidRPr="00736AB6" w:rsidRDefault="008D3C48" w:rsidP="003D7B3E">
            <w:pPr>
              <w:rPr>
                <w:sz w:val="22"/>
                <w:szCs w:val="22"/>
              </w:rPr>
            </w:pPr>
          </w:p>
        </w:tc>
        <w:tc>
          <w:tcPr>
            <w:tcW w:w="3798" w:type="dxa"/>
          </w:tcPr>
          <w:p w14:paraId="3A285302" w14:textId="5E11B45C" w:rsidR="00FE4956" w:rsidRPr="00736AB6" w:rsidRDefault="00FE4956" w:rsidP="003D7B3E">
            <w:pPr>
              <w:rPr>
                <w:sz w:val="22"/>
                <w:szCs w:val="22"/>
                <w:lang w:val="en-US"/>
              </w:rPr>
            </w:pPr>
            <w:r w:rsidRPr="00736AB6">
              <w:rPr>
                <w:sz w:val="22"/>
                <w:szCs w:val="22"/>
                <w:lang w:val="en-US"/>
              </w:rPr>
              <w:t xml:space="preserve">exceptions to the requirements for premises are discussed in several sections in this documents which is confusing </w:t>
            </w:r>
          </w:p>
          <w:p w14:paraId="38054373" w14:textId="77777777" w:rsidR="008D3C48" w:rsidRPr="00736AB6" w:rsidRDefault="00FE4956" w:rsidP="003D7B3E">
            <w:pPr>
              <w:rPr>
                <w:sz w:val="22"/>
                <w:szCs w:val="22"/>
                <w:lang w:val="en-US"/>
              </w:rPr>
            </w:pPr>
            <w:r w:rsidRPr="00736AB6">
              <w:rPr>
                <w:sz w:val="22"/>
                <w:szCs w:val="22"/>
                <w:lang w:val="en-US"/>
              </w:rPr>
              <w:t xml:space="preserve">Is the production process of viral vectors the only example for which these exceptions are allowed? Would it not be more clear to state that processes for which sterile filtration is possible can be performed A/C? </w:t>
            </w:r>
          </w:p>
        </w:tc>
      </w:tr>
      <w:tr w:rsidR="008D3C48" w:rsidRPr="00E02208" w14:paraId="7ADBF7DF" w14:textId="77777777" w:rsidTr="008D3C48">
        <w:trPr>
          <w:cantSplit/>
          <w:tblHeader/>
        </w:trPr>
        <w:tc>
          <w:tcPr>
            <w:tcW w:w="1158" w:type="dxa"/>
          </w:tcPr>
          <w:p w14:paraId="494FA97B" w14:textId="77777777" w:rsidR="008D3C48" w:rsidRPr="00736AB6" w:rsidRDefault="008D3C48" w:rsidP="003D7B3E">
            <w:pPr>
              <w:rPr>
                <w:sz w:val="22"/>
                <w:szCs w:val="22"/>
                <w:lang w:val="en-US"/>
              </w:rPr>
            </w:pPr>
            <w:r w:rsidRPr="00736AB6">
              <w:rPr>
                <w:sz w:val="22"/>
                <w:szCs w:val="22"/>
                <w:lang w:val="en-US"/>
              </w:rPr>
              <w:t>542</w:t>
            </w:r>
          </w:p>
        </w:tc>
        <w:tc>
          <w:tcPr>
            <w:tcW w:w="3572" w:type="dxa"/>
          </w:tcPr>
          <w:p w14:paraId="1025BC10" w14:textId="77777777" w:rsidR="008D3C48" w:rsidRPr="00736AB6" w:rsidRDefault="008D3C48" w:rsidP="003D7B3E">
            <w:pPr>
              <w:rPr>
                <w:sz w:val="22"/>
                <w:szCs w:val="22"/>
                <w:lang w:val="en-US"/>
              </w:rPr>
            </w:pPr>
            <w:r w:rsidRPr="00736AB6">
              <w:rPr>
                <w:sz w:val="22"/>
                <w:szCs w:val="22"/>
                <w:lang w:val="en-US"/>
              </w:rPr>
              <w:t>airflow direction</w:t>
            </w:r>
          </w:p>
        </w:tc>
        <w:tc>
          <w:tcPr>
            <w:tcW w:w="3798" w:type="dxa"/>
          </w:tcPr>
          <w:p w14:paraId="12AC6644" w14:textId="77777777" w:rsidR="008D3C48" w:rsidRPr="00736AB6" w:rsidRDefault="00FE4956" w:rsidP="003D7B3E">
            <w:pPr>
              <w:rPr>
                <w:sz w:val="22"/>
                <w:szCs w:val="22"/>
                <w:lang w:val="en-US"/>
              </w:rPr>
            </w:pPr>
            <w:r w:rsidRPr="00736AB6">
              <w:rPr>
                <w:sz w:val="22"/>
                <w:szCs w:val="22"/>
                <w:lang w:val="en-US"/>
              </w:rPr>
              <w:t xml:space="preserve">Does this truly mean that the airflow direction needs to be </w:t>
            </w:r>
            <w:r w:rsidR="008B568D" w:rsidRPr="00736AB6">
              <w:rPr>
                <w:sz w:val="22"/>
                <w:szCs w:val="22"/>
                <w:lang w:val="en-US"/>
              </w:rPr>
              <w:t>measured</w:t>
            </w:r>
            <w:r w:rsidRPr="00736AB6">
              <w:rPr>
                <w:sz w:val="22"/>
                <w:szCs w:val="22"/>
                <w:lang w:val="en-US"/>
              </w:rPr>
              <w:t xml:space="preserve"> or </w:t>
            </w:r>
            <w:r w:rsidR="008B568D" w:rsidRPr="00736AB6">
              <w:rPr>
                <w:sz w:val="22"/>
                <w:szCs w:val="22"/>
                <w:lang w:val="en-US"/>
              </w:rPr>
              <w:t xml:space="preserve">can this information be derived from </w:t>
            </w:r>
            <w:r w:rsidRPr="00736AB6">
              <w:rPr>
                <w:sz w:val="22"/>
                <w:szCs w:val="22"/>
                <w:lang w:val="en-US"/>
              </w:rPr>
              <w:t>the difference in pressure between adjacent rooms?</w:t>
            </w:r>
          </w:p>
        </w:tc>
      </w:tr>
      <w:tr w:rsidR="008D3C48" w:rsidRPr="00E02208" w14:paraId="6D624C14" w14:textId="77777777" w:rsidTr="008D3C48">
        <w:trPr>
          <w:cantSplit/>
          <w:tblHeader/>
        </w:trPr>
        <w:tc>
          <w:tcPr>
            <w:tcW w:w="1158" w:type="dxa"/>
          </w:tcPr>
          <w:p w14:paraId="63C1168D" w14:textId="77777777" w:rsidR="008D3C48" w:rsidRPr="00736AB6" w:rsidRDefault="008D3C48" w:rsidP="003D7B3E">
            <w:pPr>
              <w:rPr>
                <w:sz w:val="22"/>
                <w:szCs w:val="22"/>
              </w:rPr>
            </w:pPr>
            <w:r w:rsidRPr="00736AB6">
              <w:rPr>
                <w:sz w:val="22"/>
                <w:szCs w:val="22"/>
              </w:rPr>
              <w:t>612</w:t>
            </w:r>
          </w:p>
        </w:tc>
        <w:tc>
          <w:tcPr>
            <w:tcW w:w="3572" w:type="dxa"/>
          </w:tcPr>
          <w:p w14:paraId="018B18D6" w14:textId="77777777" w:rsidR="008D3C48" w:rsidRPr="00736AB6" w:rsidRDefault="008D3C48" w:rsidP="003D7B3E">
            <w:pPr>
              <w:rPr>
                <w:sz w:val="22"/>
                <w:szCs w:val="22"/>
                <w:lang w:val="en-US"/>
              </w:rPr>
            </w:pPr>
            <w:r w:rsidRPr="00736AB6">
              <w:rPr>
                <w:sz w:val="22"/>
                <w:szCs w:val="22"/>
                <w:lang w:val="en-US"/>
              </w:rPr>
              <w:t>Adjacent rooms of different grades should have a pressure differential of 10 – 15 Pa</w:t>
            </w:r>
          </w:p>
        </w:tc>
        <w:tc>
          <w:tcPr>
            <w:tcW w:w="3798" w:type="dxa"/>
          </w:tcPr>
          <w:p w14:paraId="504475A6" w14:textId="68410B28" w:rsidR="008D3C48" w:rsidRPr="00736AB6" w:rsidRDefault="008D3C48" w:rsidP="003D7B3E">
            <w:pPr>
              <w:rPr>
                <w:sz w:val="22"/>
                <w:szCs w:val="22"/>
                <w:lang w:val="en-US"/>
              </w:rPr>
            </w:pPr>
            <w:r w:rsidRPr="00736AB6">
              <w:rPr>
                <w:sz w:val="22"/>
                <w:szCs w:val="22"/>
                <w:lang w:val="en-US"/>
              </w:rPr>
              <w:t xml:space="preserve">According to Annex 1 these are guidance values. Suggestion to add’(guidance values)’ in the </w:t>
            </w:r>
            <w:r w:rsidR="00027F6A" w:rsidRPr="00736AB6">
              <w:rPr>
                <w:sz w:val="22"/>
                <w:szCs w:val="22"/>
                <w:lang w:val="en-US"/>
              </w:rPr>
              <w:t>text</w:t>
            </w:r>
            <w:r w:rsidRPr="00736AB6">
              <w:rPr>
                <w:sz w:val="22"/>
                <w:szCs w:val="22"/>
                <w:lang w:val="en-US"/>
              </w:rPr>
              <w:t>, similar to Annex 1</w:t>
            </w:r>
          </w:p>
        </w:tc>
      </w:tr>
      <w:tr w:rsidR="008D3C48" w:rsidRPr="00E02208" w14:paraId="2355D529" w14:textId="77777777" w:rsidTr="008D3C48">
        <w:trPr>
          <w:cantSplit/>
          <w:tblHeader/>
        </w:trPr>
        <w:tc>
          <w:tcPr>
            <w:tcW w:w="1158" w:type="dxa"/>
          </w:tcPr>
          <w:p w14:paraId="6F0D7A59" w14:textId="77777777" w:rsidR="008D3C48" w:rsidRPr="00736AB6" w:rsidRDefault="008D3C48" w:rsidP="003D7B3E">
            <w:pPr>
              <w:rPr>
                <w:sz w:val="22"/>
                <w:szCs w:val="22"/>
              </w:rPr>
            </w:pPr>
            <w:r w:rsidRPr="00736AB6">
              <w:rPr>
                <w:sz w:val="22"/>
                <w:szCs w:val="22"/>
              </w:rPr>
              <w:lastRenderedPageBreak/>
              <w:t>614</w:t>
            </w:r>
          </w:p>
        </w:tc>
        <w:tc>
          <w:tcPr>
            <w:tcW w:w="3572" w:type="dxa"/>
          </w:tcPr>
          <w:p w14:paraId="731B9580" w14:textId="77777777" w:rsidR="008D3C48" w:rsidRPr="00736AB6" w:rsidRDefault="008D3C48" w:rsidP="003D7B3E">
            <w:pPr>
              <w:rPr>
                <w:sz w:val="22"/>
                <w:szCs w:val="22"/>
                <w:lang w:val="en-US"/>
              </w:rPr>
            </w:pPr>
            <w:r w:rsidRPr="00736AB6">
              <w:rPr>
                <w:sz w:val="22"/>
                <w:szCs w:val="22"/>
                <w:lang w:val="en-US"/>
              </w:rPr>
              <w:t xml:space="preserve">Negative pressure when </w:t>
            </w:r>
            <w:r w:rsidR="001104B2" w:rsidRPr="00736AB6">
              <w:rPr>
                <w:sz w:val="22"/>
                <w:szCs w:val="22"/>
                <w:lang w:val="en-US"/>
              </w:rPr>
              <w:t>infectious</w:t>
            </w:r>
            <w:r w:rsidRPr="00736AB6">
              <w:rPr>
                <w:sz w:val="22"/>
                <w:szCs w:val="22"/>
                <w:lang w:val="en-US"/>
              </w:rPr>
              <w:t xml:space="preserve"> materials are used.</w:t>
            </w:r>
          </w:p>
        </w:tc>
        <w:tc>
          <w:tcPr>
            <w:tcW w:w="3798" w:type="dxa"/>
          </w:tcPr>
          <w:p w14:paraId="0443425E" w14:textId="77777777" w:rsidR="008D3C48" w:rsidRPr="00736AB6" w:rsidRDefault="008D3C48" w:rsidP="003D7B3E">
            <w:pPr>
              <w:rPr>
                <w:sz w:val="22"/>
                <w:szCs w:val="22"/>
                <w:lang w:val="en-US"/>
              </w:rPr>
            </w:pPr>
            <w:r w:rsidRPr="00736AB6">
              <w:rPr>
                <w:sz w:val="22"/>
                <w:szCs w:val="22"/>
                <w:lang w:val="en-US"/>
              </w:rPr>
              <w:t>Would this then apply to materials that are known to be (routinely) infected</w:t>
            </w:r>
            <w:r w:rsidR="008B568D" w:rsidRPr="00736AB6">
              <w:rPr>
                <w:sz w:val="22"/>
                <w:szCs w:val="22"/>
                <w:lang w:val="en-US"/>
              </w:rPr>
              <w:t>?</w:t>
            </w:r>
            <w:r w:rsidRPr="00736AB6">
              <w:rPr>
                <w:sz w:val="22"/>
                <w:szCs w:val="22"/>
                <w:lang w:val="en-US"/>
              </w:rPr>
              <w:t xml:space="preserve"> For exceptional infections it’s not </w:t>
            </w:r>
            <w:r w:rsidR="008B568D" w:rsidRPr="00736AB6">
              <w:rPr>
                <w:sz w:val="22"/>
                <w:szCs w:val="22"/>
                <w:lang w:val="en-US"/>
              </w:rPr>
              <w:t>practicable</w:t>
            </w:r>
            <w:r w:rsidRPr="00736AB6">
              <w:rPr>
                <w:sz w:val="22"/>
                <w:szCs w:val="22"/>
                <w:lang w:val="en-US"/>
              </w:rPr>
              <w:t xml:space="preserve"> to invert the pressure cascades.</w:t>
            </w:r>
          </w:p>
        </w:tc>
      </w:tr>
      <w:tr w:rsidR="008D3C48" w:rsidRPr="00E02208" w14:paraId="4E1340AB" w14:textId="77777777" w:rsidTr="008D3C48">
        <w:trPr>
          <w:cantSplit/>
          <w:tblHeader/>
        </w:trPr>
        <w:tc>
          <w:tcPr>
            <w:tcW w:w="1158" w:type="dxa"/>
          </w:tcPr>
          <w:p w14:paraId="2EDF4489" w14:textId="77777777" w:rsidR="008D3C48" w:rsidRPr="00736AB6" w:rsidRDefault="008D3C48" w:rsidP="003D7B3E">
            <w:pPr>
              <w:rPr>
                <w:sz w:val="22"/>
                <w:szCs w:val="22"/>
              </w:rPr>
            </w:pPr>
            <w:r w:rsidRPr="00736AB6">
              <w:rPr>
                <w:sz w:val="22"/>
                <w:szCs w:val="22"/>
              </w:rPr>
              <w:t>765</w:t>
            </w:r>
          </w:p>
        </w:tc>
        <w:tc>
          <w:tcPr>
            <w:tcW w:w="3572" w:type="dxa"/>
          </w:tcPr>
          <w:p w14:paraId="46550FEA" w14:textId="77777777" w:rsidR="008D3C48" w:rsidRPr="00736AB6" w:rsidRDefault="008D3C48" w:rsidP="003D7B3E">
            <w:pPr>
              <w:rPr>
                <w:sz w:val="22"/>
                <w:szCs w:val="22"/>
                <w:lang w:val="en-US"/>
              </w:rPr>
            </w:pPr>
            <w:r w:rsidRPr="00736AB6">
              <w:rPr>
                <w:sz w:val="22"/>
                <w:szCs w:val="22"/>
                <w:lang w:val="en-US"/>
              </w:rPr>
              <w:t>For autologous products, each unit should be considered a distinct</w:t>
            </w:r>
            <w:r w:rsidRPr="00736AB6">
              <w:rPr>
                <w:rFonts w:cs="Calibri"/>
                <w:sz w:val="22"/>
                <w:szCs w:val="22"/>
                <w:lang w:val="en-US"/>
              </w:rPr>
              <w:t xml:space="preserve"> </w:t>
            </w:r>
            <w:r w:rsidRPr="00736AB6">
              <w:rPr>
                <w:sz w:val="22"/>
                <w:szCs w:val="22"/>
                <w:lang w:val="en-US"/>
              </w:rPr>
              <w:t>batch.</w:t>
            </w:r>
          </w:p>
        </w:tc>
        <w:tc>
          <w:tcPr>
            <w:tcW w:w="3798" w:type="dxa"/>
          </w:tcPr>
          <w:p w14:paraId="48505D2C" w14:textId="77777777" w:rsidR="008D3C48" w:rsidRPr="00736AB6" w:rsidRDefault="008D3C48" w:rsidP="003D7B3E">
            <w:pPr>
              <w:rPr>
                <w:sz w:val="22"/>
                <w:szCs w:val="22"/>
                <w:lang w:val="en-US"/>
              </w:rPr>
            </w:pPr>
            <w:r w:rsidRPr="00736AB6">
              <w:rPr>
                <w:sz w:val="22"/>
                <w:szCs w:val="22"/>
                <w:lang w:val="en-US"/>
              </w:rPr>
              <w:t xml:space="preserve">If </w:t>
            </w:r>
            <w:r w:rsidR="001104B2" w:rsidRPr="00736AB6">
              <w:rPr>
                <w:sz w:val="22"/>
                <w:szCs w:val="22"/>
                <w:lang w:val="en-US"/>
              </w:rPr>
              <w:t>autologous</w:t>
            </w:r>
            <w:r w:rsidRPr="00736AB6">
              <w:rPr>
                <w:sz w:val="22"/>
                <w:szCs w:val="22"/>
                <w:lang w:val="en-US"/>
              </w:rPr>
              <w:t xml:space="preserve"> products </w:t>
            </w:r>
            <w:r w:rsidR="001104B2" w:rsidRPr="00736AB6">
              <w:rPr>
                <w:sz w:val="22"/>
                <w:szCs w:val="22"/>
                <w:lang w:val="en-US"/>
              </w:rPr>
              <w:t>are used</w:t>
            </w:r>
            <w:r w:rsidRPr="00736AB6">
              <w:rPr>
                <w:sz w:val="22"/>
                <w:szCs w:val="22"/>
                <w:lang w:val="en-US"/>
              </w:rPr>
              <w:t xml:space="preserve"> after reconstitution as described in section 16 of this document, then why couldn’t a batch consist of several (frozen) units?</w:t>
            </w:r>
          </w:p>
        </w:tc>
      </w:tr>
      <w:tr w:rsidR="001104B2" w:rsidRPr="00736AB6" w14:paraId="2B93D8E5" w14:textId="77777777" w:rsidTr="008D3C48">
        <w:trPr>
          <w:cantSplit/>
          <w:tblHeader/>
        </w:trPr>
        <w:tc>
          <w:tcPr>
            <w:tcW w:w="1158" w:type="dxa"/>
          </w:tcPr>
          <w:p w14:paraId="53A4B83C" w14:textId="77777777" w:rsidR="001104B2" w:rsidRPr="00736AB6" w:rsidRDefault="001104B2" w:rsidP="003D7B3E">
            <w:pPr>
              <w:rPr>
                <w:sz w:val="22"/>
                <w:szCs w:val="22"/>
              </w:rPr>
            </w:pPr>
            <w:r w:rsidRPr="00736AB6">
              <w:rPr>
                <w:sz w:val="22"/>
                <w:szCs w:val="22"/>
              </w:rPr>
              <w:t>798</w:t>
            </w:r>
          </w:p>
        </w:tc>
        <w:tc>
          <w:tcPr>
            <w:tcW w:w="3572" w:type="dxa"/>
          </w:tcPr>
          <w:p w14:paraId="713CC703" w14:textId="77777777" w:rsidR="001104B2" w:rsidRPr="00736AB6" w:rsidRDefault="001104B2" w:rsidP="003D7B3E">
            <w:pPr>
              <w:rPr>
                <w:sz w:val="22"/>
                <w:szCs w:val="22"/>
                <w:lang w:val="en-US"/>
              </w:rPr>
            </w:pPr>
            <w:r w:rsidRPr="00736AB6">
              <w:rPr>
                <w:sz w:val="22"/>
                <w:szCs w:val="22"/>
                <w:lang w:val="en-US"/>
              </w:rPr>
              <w:t>A copy of the manufacturing order..</w:t>
            </w:r>
          </w:p>
        </w:tc>
        <w:tc>
          <w:tcPr>
            <w:tcW w:w="3798" w:type="dxa"/>
          </w:tcPr>
          <w:p w14:paraId="43ABA98A" w14:textId="77777777" w:rsidR="001104B2" w:rsidRPr="00736AB6" w:rsidRDefault="001104B2" w:rsidP="003D7B3E">
            <w:pPr>
              <w:rPr>
                <w:sz w:val="22"/>
                <w:szCs w:val="22"/>
              </w:rPr>
            </w:pPr>
            <w:r w:rsidRPr="00736AB6">
              <w:rPr>
                <w:sz w:val="22"/>
                <w:szCs w:val="22"/>
              </w:rPr>
              <w:t>Please define manufacturing order</w:t>
            </w:r>
          </w:p>
        </w:tc>
      </w:tr>
      <w:tr w:rsidR="001104B2" w:rsidRPr="00736AB6" w14:paraId="3BAF7E18" w14:textId="77777777" w:rsidTr="008D3C48">
        <w:trPr>
          <w:cantSplit/>
          <w:tblHeader/>
        </w:trPr>
        <w:tc>
          <w:tcPr>
            <w:tcW w:w="1158" w:type="dxa"/>
          </w:tcPr>
          <w:p w14:paraId="61F480C9" w14:textId="77777777" w:rsidR="001104B2" w:rsidRPr="00736AB6" w:rsidRDefault="001104B2" w:rsidP="003D7B3E">
            <w:pPr>
              <w:rPr>
                <w:sz w:val="22"/>
                <w:szCs w:val="22"/>
              </w:rPr>
            </w:pPr>
            <w:r w:rsidRPr="00736AB6">
              <w:rPr>
                <w:sz w:val="22"/>
                <w:szCs w:val="22"/>
              </w:rPr>
              <w:t>887</w:t>
            </w:r>
          </w:p>
        </w:tc>
        <w:tc>
          <w:tcPr>
            <w:tcW w:w="3572" w:type="dxa"/>
          </w:tcPr>
          <w:p w14:paraId="7BFD96AD" w14:textId="77777777" w:rsidR="001104B2" w:rsidRPr="00736AB6" w:rsidRDefault="001104B2" w:rsidP="003D7B3E">
            <w:pPr>
              <w:rPr>
                <w:sz w:val="22"/>
                <w:szCs w:val="22"/>
              </w:rPr>
            </w:pPr>
            <w:r w:rsidRPr="00736AB6">
              <w:rPr>
                <w:sz w:val="22"/>
                <w:szCs w:val="22"/>
              </w:rPr>
              <w:t>This Section develops…</w:t>
            </w:r>
          </w:p>
        </w:tc>
        <w:tc>
          <w:tcPr>
            <w:tcW w:w="3798" w:type="dxa"/>
          </w:tcPr>
          <w:p w14:paraId="4A8A6E1F" w14:textId="77777777" w:rsidR="001104B2" w:rsidRPr="00736AB6" w:rsidRDefault="001104B2" w:rsidP="003D7B3E">
            <w:pPr>
              <w:rPr>
                <w:sz w:val="22"/>
                <w:szCs w:val="22"/>
              </w:rPr>
            </w:pPr>
            <w:r w:rsidRPr="00736AB6">
              <w:rPr>
                <w:sz w:val="22"/>
                <w:szCs w:val="22"/>
              </w:rPr>
              <w:t>This section describes…?</w:t>
            </w:r>
          </w:p>
        </w:tc>
      </w:tr>
      <w:tr w:rsidR="001104B2" w:rsidRPr="00E02208" w14:paraId="4F56AA52" w14:textId="77777777" w:rsidTr="008D3C48">
        <w:trPr>
          <w:cantSplit/>
          <w:tblHeader/>
        </w:trPr>
        <w:tc>
          <w:tcPr>
            <w:tcW w:w="1158" w:type="dxa"/>
          </w:tcPr>
          <w:p w14:paraId="56852899" w14:textId="77777777" w:rsidR="001104B2" w:rsidRPr="00736AB6" w:rsidRDefault="001104B2" w:rsidP="003D7B3E">
            <w:pPr>
              <w:rPr>
                <w:sz w:val="22"/>
                <w:szCs w:val="22"/>
              </w:rPr>
            </w:pPr>
            <w:r w:rsidRPr="00736AB6">
              <w:rPr>
                <w:sz w:val="22"/>
                <w:szCs w:val="22"/>
              </w:rPr>
              <w:t>892</w:t>
            </w:r>
          </w:p>
          <w:p w14:paraId="4D73532B" w14:textId="77777777" w:rsidR="001104B2" w:rsidRPr="00736AB6" w:rsidRDefault="001104B2" w:rsidP="003D7B3E">
            <w:pPr>
              <w:rPr>
                <w:sz w:val="22"/>
                <w:szCs w:val="22"/>
              </w:rPr>
            </w:pPr>
            <w:r w:rsidRPr="00736AB6">
              <w:rPr>
                <w:sz w:val="22"/>
                <w:szCs w:val="22"/>
              </w:rPr>
              <w:t>899</w:t>
            </w:r>
          </w:p>
          <w:p w14:paraId="5C4A6D70" w14:textId="77777777" w:rsidR="001104B2" w:rsidRPr="00736AB6" w:rsidRDefault="001104B2" w:rsidP="003D7B3E">
            <w:pPr>
              <w:rPr>
                <w:sz w:val="22"/>
                <w:szCs w:val="22"/>
              </w:rPr>
            </w:pPr>
            <w:r w:rsidRPr="00736AB6">
              <w:rPr>
                <w:sz w:val="22"/>
                <w:szCs w:val="22"/>
              </w:rPr>
              <w:t>901</w:t>
            </w:r>
          </w:p>
        </w:tc>
        <w:tc>
          <w:tcPr>
            <w:tcW w:w="3572" w:type="dxa"/>
          </w:tcPr>
          <w:p w14:paraId="2E555335" w14:textId="77777777" w:rsidR="001104B2" w:rsidRPr="00736AB6" w:rsidRDefault="001104B2" w:rsidP="003D7B3E">
            <w:pPr>
              <w:rPr>
                <w:sz w:val="22"/>
                <w:szCs w:val="22"/>
              </w:rPr>
            </w:pPr>
            <w:r w:rsidRPr="00736AB6">
              <w:rPr>
                <w:sz w:val="22"/>
                <w:szCs w:val="22"/>
              </w:rPr>
              <w:t>Donor identification code (x3)</w:t>
            </w:r>
          </w:p>
        </w:tc>
        <w:tc>
          <w:tcPr>
            <w:tcW w:w="3798" w:type="dxa"/>
          </w:tcPr>
          <w:p w14:paraId="1A65D2DA" w14:textId="77777777" w:rsidR="001104B2" w:rsidRPr="00736AB6" w:rsidRDefault="001104B2" w:rsidP="003D7B3E">
            <w:pPr>
              <w:rPr>
                <w:sz w:val="22"/>
                <w:szCs w:val="22"/>
                <w:lang w:val="en-US"/>
              </w:rPr>
            </w:pPr>
            <w:r w:rsidRPr="00736AB6">
              <w:rPr>
                <w:sz w:val="22"/>
                <w:szCs w:val="22"/>
                <w:lang w:val="en-US"/>
              </w:rPr>
              <w:t>Error: should be ‘donation identification code’ (x3)</w:t>
            </w:r>
          </w:p>
        </w:tc>
      </w:tr>
      <w:tr w:rsidR="001104B2" w:rsidRPr="00E02208" w14:paraId="6143B93C" w14:textId="77777777" w:rsidTr="008D3C48">
        <w:trPr>
          <w:cantSplit/>
          <w:tblHeader/>
        </w:trPr>
        <w:tc>
          <w:tcPr>
            <w:tcW w:w="1158" w:type="dxa"/>
          </w:tcPr>
          <w:p w14:paraId="4AD0DD50" w14:textId="77777777" w:rsidR="001104B2" w:rsidRPr="00736AB6" w:rsidRDefault="001104B2" w:rsidP="003D7B3E">
            <w:pPr>
              <w:rPr>
                <w:sz w:val="22"/>
                <w:szCs w:val="22"/>
              </w:rPr>
            </w:pPr>
            <w:r w:rsidRPr="00736AB6">
              <w:rPr>
                <w:sz w:val="22"/>
                <w:szCs w:val="22"/>
              </w:rPr>
              <w:t>1030</w:t>
            </w:r>
          </w:p>
        </w:tc>
        <w:tc>
          <w:tcPr>
            <w:tcW w:w="3572" w:type="dxa"/>
          </w:tcPr>
          <w:p w14:paraId="49C71184" w14:textId="77777777" w:rsidR="001104B2" w:rsidRPr="00736AB6" w:rsidRDefault="001104B2" w:rsidP="003D7B3E">
            <w:pPr>
              <w:rPr>
                <w:sz w:val="22"/>
                <w:szCs w:val="22"/>
                <w:lang w:val="en-US"/>
              </w:rPr>
            </w:pPr>
            <w:r w:rsidRPr="00736AB6">
              <w:rPr>
                <w:sz w:val="22"/>
                <w:szCs w:val="22"/>
                <w:lang w:val="en-US"/>
              </w:rPr>
              <w:t>The initial processing steps of the starting materials (</w:t>
            </w:r>
            <w:r w:rsidRPr="00736AB6">
              <w:rPr>
                <w:i/>
                <w:iCs/>
                <w:sz w:val="22"/>
                <w:szCs w:val="22"/>
                <w:lang w:val="en-US"/>
              </w:rPr>
              <w:t xml:space="preserve">e.g. </w:t>
            </w:r>
            <w:r w:rsidRPr="00736AB6">
              <w:rPr>
                <w:sz w:val="22"/>
                <w:szCs w:val="22"/>
                <w:lang w:val="en-US"/>
              </w:rPr>
              <w:t>isolation, purification) are</w:t>
            </w:r>
            <w:r w:rsidRPr="00736AB6">
              <w:rPr>
                <w:rFonts w:cs="Calibri"/>
                <w:sz w:val="22"/>
                <w:szCs w:val="22"/>
                <w:lang w:val="en-US"/>
              </w:rPr>
              <w:t xml:space="preserve"> </w:t>
            </w:r>
            <w:r w:rsidRPr="00736AB6">
              <w:rPr>
                <w:sz w:val="22"/>
                <w:szCs w:val="22"/>
                <w:lang w:val="en-US"/>
              </w:rPr>
              <w:t>manufacturing activities that should be conducted in accordance with the manufacturing</w:t>
            </w:r>
            <w:r w:rsidRPr="00736AB6">
              <w:rPr>
                <w:rFonts w:cs="Calibri"/>
                <w:sz w:val="22"/>
                <w:szCs w:val="22"/>
                <w:lang w:val="en-US"/>
              </w:rPr>
              <w:t xml:space="preserve"> </w:t>
            </w:r>
            <w:r w:rsidRPr="00736AB6">
              <w:rPr>
                <w:sz w:val="22"/>
                <w:szCs w:val="22"/>
                <w:lang w:val="en-US"/>
              </w:rPr>
              <w:t>requirements for pharmaceuticals, even if it is done by a third party (</w:t>
            </w:r>
            <w:r w:rsidRPr="00736AB6">
              <w:rPr>
                <w:i/>
                <w:iCs/>
                <w:sz w:val="22"/>
                <w:szCs w:val="22"/>
                <w:lang w:val="en-US"/>
              </w:rPr>
              <w:t xml:space="preserve">e.g. </w:t>
            </w:r>
            <w:r w:rsidRPr="00736AB6">
              <w:rPr>
                <w:sz w:val="22"/>
                <w:szCs w:val="22"/>
                <w:lang w:val="en-US"/>
              </w:rPr>
              <w:t>a tissue establishment).</w:t>
            </w:r>
          </w:p>
        </w:tc>
        <w:tc>
          <w:tcPr>
            <w:tcW w:w="3798" w:type="dxa"/>
          </w:tcPr>
          <w:p w14:paraId="3F254B2E" w14:textId="77777777" w:rsidR="003D7B3E" w:rsidRPr="00736AB6" w:rsidRDefault="001104B2" w:rsidP="003D7B3E">
            <w:pPr>
              <w:spacing w:line="276" w:lineRule="auto"/>
              <w:rPr>
                <w:sz w:val="22"/>
                <w:szCs w:val="22"/>
                <w:lang w:val="en-US"/>
              </w:rPr>
            </w:pPr>
            <w:r w:rsidRPr="00736AB6">
              <w:rPr>
                <w:sz w:val="22"/>
                <w:szCs w:val="22"/>
                <w:lang w:val="en-US"/>
              </w:rPr>
              <w:t>This is a grey area where GMP and tissue bank authorities are sometimes contradicting, eg</w:t>
            </w:r>
            <w:r w:rsidR="00027F6A" w:rsidRPr="00736AB6">
              <w:rPr>
                <w:sz w:val="22"/>
                <w:szCs w:val="22"/>
                <w:lang w:val="en-US"/>
              </w:rPr>
              <w:t>.</w:t>
            </w:r>
            <w:r w:rsidRPr="00736AB6">
              <w:rPr>
                <w:sz w:val="22"/>
                <w:szCs w:val="22"/>
                <w:lang w:val="en-US"/>
              </w:rPr>
              <w:t xml:space="preserve"> regarding the GMP-status of the Clinimacs equipment. Please clarify.</w:t>
            </w:r>
          </w:p>
          <w:p w14:paraId="74F7CB6B" w14:textId="14C209FE" w:rsidR="003D7B3E" w:rsidRPr="00736AB6" w:rsidRDefault="003D7B3E" w:rsidP="003D7B3E">
            <w:pPr>
              <w:spacing w:line="276" w:lineRule="auto"/>
              <w:rPr>
                <w:sz w:val="22"/>
                <w:szCs w:val="22"/>
                <w:lang w:val="en-US"/>
              </w:rPr>
            </w:pPr>
            <w:r w:rsidRPr="00736AB6">
              <w:rPr>
                <w:sz w:val="22"/>
                <w:szCs w:val="22"/>
                <w:lang w:val="en-US"/>
              </w:rPr>
              <w:t>Also, the term “manufacturing requirements for pharmaceuticals” is confusing.</w:t>
            </w:r>
          </w:p>
        </w:tc>
      </w:tr>
      <w:tr w:rsidR="001104B2" w:rsidRPr="00E02208" w14:paraId="04F0085B" w14:textId="77777777" w:rsidTr="008D3C48">
        <w:trPr>
          <w:cantSplit/>
          <w:tblHeader/>
        </w:trPr>
        <w:tc>
          <w:tcPr>
            <w:tcW w:w="1158" w:type="dxa"/>
          </w:tcPr>
          <w:p w14:paraId="7E262C41" w14:textId="77777777" w:rsidR="001104B2" w:rsidRPr="00736AB6" w:rsidRDefault="001104B2" w:rsidP="003D7B3E">
            <w:pPr>
              <w:spacing w:line="276" w:lineRule="auto"/>
              <w:rPr>
                <w:sz w:val="22"/>
                <w:szCs w:val="22"/>
                <w:lang w:val="en-US"/>
              </w:rPr>
            </w:pPr>
            <w:r w:rsidRPr="00736AB6">
              <w:rPr>
                <w:sz w:val="22"/>
                <w:szCs w:val="22"/>
                <w:lang w:val="en-US"/>
              </w:rPr>
              <w:t>1186</w:t>
            </w:r>
          </w:p>
        </w:tc>
        <w:tc>
          <w:tcPr>
            <w:tcW w:w="3572" w:type="dxa"/>
          </w:tcPr>
          <w:p w14:paraId="197CA450" w14:textId="77777777" w:rsidR="001104B2" w:rsidRPr="00736AB6" w:rsidRDefault="001104B2" w:rsidP="003D7B3E">
            <w:pPr>
              <w:rPr>
                <w:sz w:val="22"/>
                <w:szCs w:val="22"/>
                <w:lang w:val="en-US"/>
              </w:rPr>
            </w:pPr>
            <w:r w:rsidRPr="00736AB6">
              <w:rPr>
                <w:sz w:val="22"/>
                <w:szCs w:val="22"/>
                <w:lang w:val="en-US"/>
              </w:rPr>
              <w:t>The compatibility of labels with XXX should be verified</w:t>
            </w:r>
          </w:p>
        </w:tc>
        <w:tc>
          <w:tcPr>
            <w:tcW w:w="3798" w:type="dxa"/>
          </w:tcPr>
          <w:p w14:paraId="5DB85DB6" w14:textId="77777777" w:rsidR="001104B2" w:rsidRPr="00736AB6" w:rsidRDefault="001104B2" w:rsidP="003D7B3E">
            <w:pPr>
              <w:rPr>
                <w:sz w:val="22"/>
                <w:szCs w:val="22"/>
                <w:lang w:val="en-US"/>
              </w:rPr>
            </w:pPr>
            <w:r w:rsidRPr="00736AB6">
              <w:rPr>
                <w:sz w:val="22"/>
                <w:szCs w:val="22"/>
                <w:lang w:val="en-US"/>
              </w:rPr>
              <w:t>There seems to be a word missing, eg</w:t>
            </w:r>
            <w:r w:rsidR="00027F6A" w:rsidRPr="00736AB6">
              <w:rPr>
                <w:sz w:val="22"/>
                <w:szCs w:val="22"/>
                <w:lang w:val="en-US"/>
              </w:rPr>
              <w:t>.</w:t>
            </w:r>
            <w:r w:rsidRPr="00736AB6">
              <w:rPr>
                <w:sz w:val="22"/>
                <w:szCs w:val="22"/>
                <w:lang w:val="en-US"/>
              </w:rPr>
              <w:t xml:space="preserve"> ‘actual processing and storage conditions’.</w:t>
            </w:r>
          </w:p>
        </w:tc>
      </w:tr>
      <w:tr w:rsidR="00A25814" w:rsidRPr="00E02208" w14:paraId="29700D9F" w14:textId="77777777" w:rsidTr="008D3C48">
        <w:trPr>
          <w:cantSplit/>
          <w:tblHeader/>
        </w:trPr>
        <w:tc>
          <w:tcPr>
            <w:tcW w:w="1158" w:type="dxa"/>
          </w:tcPr>
          <w:p w14:paraId="077D3A7E" w14:textId="77777777" w:rsidR="00A25814" w:rsidRPr="00736AB6" w:rsidRDefault="00A25814" w:rsidP="003D7B3E">
            <w:pPr>
              <w:rPr>
                <w:sz w:val="22"/>
                <w:szCs w:val="22"/>
              </w:rPr>
            </w:pPr>
            <w:r w:rsidRPr="00736AB6">
              <w:rPr>
                <w:sz w:val="22"/>
                <w:szCs w:val="22"/>
              </w:rPr>
              <w:t>1244</w:t>
            </w:r>
          </w:p>
        </w:tc>
        <w:tc>
          <w:tcPr>
            <w:tcW w:w="3572" w:type="dxa"/>
          </w:tcPr>
          <w:p w14:paraId="6A39A66C" w14:textId="77777777" w:rsidR="00A25814" w:rsidRPr="00736AB6" w:rsidRDefault="00A25814" w:rsidP="003D7B3E">
            <w:pPr>
              <w:rPr>
                <w:sz w:val="22"/>
                <w:szCs w:val="22"/>
                <w:lang w:val="en-US"/>
              </w:rPr>
            </w:pPr>
            <w:r w:rsidRPr="00736AB6">
              <w:rPr>
                <w:sz w:val="22"/>
                <w:szCs w:val="22"/>
                <w:lang w:val="en-US"/>
              </w:rPr>
              <w:t xml:space="preserve">For autologous products, there should be appropriate cleaning/decontamination between each batch. </w:t>
            </w:r>
            <w:r w:rsidRPr="00736AB6">
              <w:rPr>
                <w:sz w:val="22"/>
                <w:szCs w:val="22"/>
              </w:rPr>
              <w:t>The cleaning/decontamination procedures should be validated (</w:t>
            </w:r>
            <w:r w:rsidRPr="00736AB6">
              <w:rPr>
                <w:i/>
                <w:iCs/>
                <w:sz w:val="22"/>
                <w:szCs w:val="22"/>
              </w:rPr>
              <w:t xml:space="preserve">see </w:t>
            </w:r>
            <w:r w:rsidRPr="00736AB6">
              <w:rPr>
                <w:sz w:val="22"/>
                <w:szCs w:val="22"/>
              </w:rPr>
              <w:t>Section 10.2).</w:t>
            </w:r>
          </w:p>
        </w:tc>
        <w:tc>
          <w:tcPr>
            <w:tcW w:w="3798" w:type="dxa"/>
          </w:tcPr>
          <w:p w14:paraId="40B27558" w14:textId="77777777" w:rsidR="00A25814" w:rsidRPr="00736AB6" w:rsidRDefault="00A25814" w:rsidP="003D7B3E">
            <w:pPr>
              <w:rPr>
                <w:sz w:val="22"/>
                <w:szCs w:val="22"/>
                <w:lang w:val="en-US"/>
              </w:rPr>
            </w:pPr>
            <w:r w:rsidRPr="00736AB6">
              <w:rPr>
                <w:sz w:val="22"/>
                <w:szCs w:val="22"/>
                <w:lang w:val="en-US"/>
              </w:rPr>
              <w:t>This is somewhat confusing since it suggests that only for autologous products there should be appropriate cleaning/decontamination between each batch.</w:t>
            </w:r>
          </w:p>
          <w:p w14:paraId="194C9154" w14:textId="77777777" w:rsidR="00A25814" w:rsidRPr="00736AB6" w:rsidRDefault="00A25814" w:rsidP="003D7B3E">
            <w:pPr>
              <w:rPr>
                <w:sz w:val="22"/>
                <w:szCs w:val="22"/>
                <w:lang w:val="en-US"/>
              </w:rPr>
            </w:pPr>
            <w:r w:rsidRPr="00736AB6">
              <w:rPr>
                <w:sz w:val="22"/>
                <w:szCs w:val="22"/>
                <w:lang w:val="en-US"/>
              </w:rPr>
              <w:t>In addition, validation of cleaning/decontamination procedures with regard to autologous products needs additional explanation.</w:t>
            </w:r>
          </w:p>
        </w:tc>
      </w:tr>
      <w:tr w:rsidR="001104B2" w:rsidRPr="00E02208" w14:paraId="019B3781" w14:textId="77777777" w:rsidTr="008D3C48">
        <w:trPr>
          <w:cantSplit/>
          <w:tblHeader/>
        </w:trPr>
        <w:tc>
          <w:tcPr>
            <w:tcW w:w="1158" w:type="dxa"/>
          </w:tcPr>
          <w:p w14:paraId="4AC758E3" w14:textId="77777777" w:rsidR="001104B2" w:rsidRPr="00736AB6" w:rsidRDefault="001104B2" w:rsidP="003D7B3E">
            <w:pPr>
              <w:rPr>
                <w:sz w:val="22"/>
                <w:szCs w:val="22"/>
              </w:rPr>
            </w:pPr>
            <w:r w:rsidRPr="00736AB6">
              <w:rPr>
                <w:sz w:val="22"/>
                <w:szCs w:val="22"/>
              </w:rPr>
              <w:t>1271 - 1274</w:t>
            </w:r>
          </w:p>
        </w:tc>
        <w:tc>
          <w:tcPr>
            <w:tcW w:w="3572" w:type="dxa"/>
          </w:tcPr>
          <w:p w14:paraId="5CA9EB48" w14:textId="77777777" w:rsidR="001104B2" w:rsidRPr="00736AB6" w:rsidRDefault="001104B2" w:rsidP="003D7B3E">
            <w:pPr>
              <w:rPr>
                <w:sz w:val="22"/>
                <w:szCs w:val="22"/>
                <w:lang w:val="en-US"/>
              </w:rPr>
            </w:pPr>
            <w:r w:rsidRPr="00736AB6">
              <w:rPr>
                <w:sz w:val="22"/>
                <w:szCs w:val="22"/>
                <w:lang w:val="en-US"/>
              </w:rPr>
              <w:t>it is acceptable</w:t>
            </w:r>
            <w:r w:rsidRPr="00736AB6">
              <w:rPr>
                <w:rFonts w:cs="Calibri"/>
                <w:sz w:val="22"/>
                <w:szCs w:val="22"/>
                <w:lang w:val="en-US"/>
              </w:rPr>
              <w:t xml:space="preserve"> </w:t>
            </w:r>
            <w:r w:rsidRPr="00736AB6">
              <w:rPr>
                <w:sz w:val="22"/>
                <w:szCs w:val="22"/>
                <w:lang w:val="en-US"/>
              </w:rPr>
              <w:t xml:space="preserve">to conduct a manufacturing activity in a clean room which hosts an </w:t>
            </w:r>
            <w:r w:rsidRPr="00736AB6">
              <w:rPr>
                <w:b/>
                <w:sz w:val="22"/>
                <w:szCs w:val="22"/>
                <w:lang w:val="en-US"/>
              </w:rPr>
              <w:t>incubator</w:t>
            </w:r>
            <w:r w:rsidRPr="00736AB6">
              <w:rPr>
                <w:color w:val="FF0000"/>
                <w:sz w:val="22"/>
                <w:szCs w:val="22"/>
                <w:lang w:val="en-US"/>
              </w:rPr>
              <w:t xml:space="preserve"> </w:t>
            </w:r>
            <w:r w:rsidRPr="00736AB6">
              <w:rPr>
                <w:sz w:val="22"/>
                <w:szCs w:val="22"/>
                <w:lang w:val="en-US"/>
              </w:rPr>
              <w:t>which</w:t>
            </w:r>
            <w:r w:rsidRPr="00736AB6">
              <w:rPr>
                <w:rFonts w:cs="Calibri"/>
                <w:sz w:val="22"/>
                <w:szCs w:val="22"/>
                <w:lang w:val="en-US"/>
              </w:rPr>
              <w:t xml:space="preserve"> </w:t>
            </w:r>
            <w:r w:rsidRPr="00736AB6">
              <w:rPr>
                <w:sz w:val="22"/>
                <w:szCs w:val="22"/>
                <w:lang w:val="en-US"/>
              </w:rPr>
              <w:t xml:space="preserve">is used for a different batch/product if there is separated expulsion of exhausted air </w:t>
            </w:r>
            <w:r w:rsidRPr="00736AB6">
              <w:rPr>
                <w:rFonts w:cs="Calibri"/>
                <w:sz w:val="22"/>
                <w:szCs w:val="22"/>
                <w:lang w:val="en-US"/>
              </w:rPr>
              <w:t xml:space="preserve"> </w:t>
            </w:r>
            <w:r w:rsidRPr="00736AB6">
              <w:rPr>
                <w:sz w:val="22"/>
                <w:szCs w:val="22"/>
                <w:lang w:val="en-US"/>
              </w:rPr>
              <w:t xml:space="preserve">from the </w:t>
            </w:r>
            <w:r w:rsidRPr="00736AB6">
              <w:rPr>
                <w:b/>
                <w:sz w:val="22"/>
                <w:szCs w:val="22"/>
                <w:lang w:val="en-US"/>
              </w:rPr>
              <w:t>isolator</w:t>
            </w:r>
            <w:r w:rsidRPr="00736AB6">
              <w:rPr>
                <w:sz w:val="22"/>
                <w:szCs w:val="22"/>
                <w:lang w:val="en-US"/>
              </w:rPr>
              <w:t xml:space="preserve"> and regular integrity checks of the </w:t>
            </w:r>
            <w:r w:rsidRPr="00736AB6">
              <w:rPr>
                <w:b/>
                <w:sz w:val="22"/>
                <w:szCs w:val="22"/>
                <w:lang w:val="en-US"/>
              </w:rPr>
              <w:t>isolator</w:t>
            </w:r>
            <w:r w:rsidRPr="00736AB6">
              <w:rPr>
                <w:sz w:val="22"/>
                <w:szCs w:val="22"/>
                <w:lang w:val="en-US"/>
              </w:rPr>
              <w:t>.</w:t>
            </w:r>
          </w:p>
        </w:tc>
        <w:tc>
          <w:tcPr>
            <w:tcW w:w="3798" w:type="dxa"/>
          </w:tcPr>
          <w:p w14:paraId="7DB41BCB" w14:textId="77777777" w:rsidR="001104B2" w:rsidRPr="00736AB6" w:rsidRDefault="001104B2" w:rsidP="003D7B3E">
            <w:pPr>
              <w:rPr>
                <w:sz w:val="22"/>
                <w:szCs w:val="22"/>
                <w:lang w:val="en-US"/>
              </w:rPr>
            </w:pPr>
            <w:r w:rsidRPr="00736AB6">
              <w:rPr>
                <w:sz w:val="22"/>
                <w:szCs w:val="22"/>
                <w:lang w:val="en-US"/>
              </w:rPr>
              <w:t>There seems to be a mix-up between ‘isolator’ and ‘incubator’. It currently doesn’t make sense…</w:t>
            </w:r>
          </w:p>
        </w:tc>
      </w:tr>
      <w:tr w:rsidR="00374B68" w:rsidRPr="00E02208" w14:paraId="58C49D87" w14:textId="77777777" w:rsidTr="008D3C48">
        <w:trPr>
          <w:cantSplit/>
          <w:tblHeader/>
        </w:trPr>
        <w:tc>
          <w:tcPr>
            <w:tcW w:w="1158" w:type="dxa"/>
          </w:tcPr>
          <w:p w14:paraId="3AAD13F9" w14:textId="77777777" w:rsidR="00374B68" w:rsidRPr="00736AB6" w:rsidRDefault="00374B68" w:rsidP="003D7B3E">
            <w:pPr>
              <w:rPr>
                <w:sz w:val="22"/>
                <w:szCs w:val="22"/>
              </w:rPr>
            </w:pPr>
            <w:r w:rsidRPr="00736AB6">
              <w:rPr>
                <w:sz w:val="22"/>
                <w:szCs w:val="22"/>
              </w:rPr>
              <w:t>1326</w:t>
            </w:r>
          </w:p>
        </w:tc>
        <w:tc>
          <w:tcPr>
            <w:tcW w:w="3572" w:type="dxa"/>
          </w:tcPr>
          <w:p w14:paraId="1CE41592" w14:textId="2255E04A" w:rsidR="00374B68" w:rsidRPr="00736AB6" w:rsidRDefault="00374B68" w:rsidP="003D7B3E">
            <w:pPr>
              <w:rPr>
                <w:sz w:val="22"/>
                <w:szCs w:val="22"/>
                <w:lang w:val="en-US"/>
              </w:rPr>
            </w:pPr>
            <w:r w:rsidRPr="00736AB6">
              <w:rPr>
                <w:sz w:val="22"/>
                <w:szCs w:val="22"/>
                <w:lang w:val="en-US"/>
              </w:rPr>
              <w:t xml:space="preserve">The integrity of the </w:t>
            </w:r>
            <w:r w:rsidR="00027F6A" w:rsidRPr="00736AB6">
              <w:rPr>
                <w:sz w:val="22"/>
                <w:szCs w:val="22"/>
                <w:lang w:val="en-US"/>
              </w:rPr>
              <w:t>sterilized</w:t>
            </w:r>
            <w:r w:rsidRPr="00736AB6">
              <w:rPr>
                <w:sz w:val="22"/>
                <w:szCs w:val="22"/>
                <w:lang w:val="en-US"/>
              </w:rPr>
              <w:t xml:space="preserve"> filter should be verified before use and should also be confirmed after use by an appropriate method</w:t>
            </w:r>
          </w:p>
        </w:tc>
        <w:tc>
          <w:tcPr>
            <w:tcW w:w="3798" w:type="dxa"/>
          </w:tcPr>
          <w:p w14:paraId="751C465F" w14:textId="77777777" w:rsidR="00374B68" w:rsidRPr="00736AB6" w:rsidRDefault="00374B68" w:rsidP="003D7B3E">
            <w:pPr>
              <w:rPr>
                <w:sz w:val="22"/>
                <w:szCs w:val="22"/>
                <w:lang w:val="en-US"/>
              </w:rPr>
            </w:pPr>
            <w:r w:rsidRPr="00736AB6">
              <w:rPr>
                <w:sz w:val="22"/>
                <w:szCs w:val="22"/>
                <w:lang w:val="en-US"/>
              </w:rPr>
              <w:t>Filter integrity testing before use is not always possible, especially in the case of small scale batches where in line testing of filter is not feasible</w:t>
            </w:r>
          </w:p>
        </w:tc>
      </w:tr>
      <w:tr w:rsidR="001104B2" w:rsidRPr="00E02208" w14:paraId="08AB8E5D" w14:textId="77777777" w:rsidTr="008D3C48">
        <w:trPr>
          <w:cantSplit/>
          <w:tblHeader/>
        </w:trPr>
        <w:tc>
          <w:tcPr>
            <w:tcW w:w="1158" w:type="dxa"/>
          </w:tcPr>
          <w:p w14:paraId="09DC16FE" w14:textId="77777777" w:rsidR="001104B2" w:rsidRPr="00736AB6" w:rsidRDefault="001104B2" w:rsidP="003D7B3E">
            <w:pPr>
              <w:rPr>
                <w:sz w:val="22"/>
                <w:szCs w:val="22"/>
              </w:rPr>
            </w:pPr>
            <w:r w:rsidRPr="00736AB6">
              <w:rPr>
                <w:sz w:val="22"/>
                <w:szCs w:val="22"/>
              </w:rPr>
              <w:t>1342</w:t>
            </w:r>
          </w:p>
        </w:tc>
        <w:tc>
          <w:tcPr>
            <w:tcW w:w="3572" w:type="dxa"/>
          </w:tcPr>
          <w:p w14:paraId="5B6AC4AC" w14:textId="77777777" w:rsidR="001104B2" w:rsidRPr="00736AB6" w:rsidRDefault="001104B2" w:rsidP="003D7B3E">
            <w:pPr>
              <w:rPr>
                <w:sz w:val="22"/>
                <w:szCs w:val="22"/>
                <w:lang w:val="en-US"/>
              </w:rPr>
            </w:pPr>
            <w:r w:rsidRPr="00736AB6">
              <w:rPr>
                <w:sz w:val="22"/>
                <w:szCs w:val="22"/>
                <w:lang w:val="en-US"/>
              </w:rPr>
              <w:t>Simulation of reduced times for certain activities (e.g. centrifugation, incubation) should be justified having regard to the risk.</w:t>
            </w:r>
          </w:p>
        </w:tc>
        <w:tc>
          <w:tcPr>
            <w:tcW w:w="3798" w:type="dxa"/>
          </w:tcPr>
          <w:p w14:paraId="2A07CF61" w14:textId="7C9465F0" w:rsidR="001104B2" w:rsidRPr="00736AB6" w:rsidRDefault="001104B2" w:rsidP="00A12ECC">
            <w:pPr>
              <w:rPr>
                <w:sz w:val="22"/>
                <w:szCs w:val="22"/>
                <w:lang w:val="en-US"/>
              </w:rPr>
            </w:pPr>
            <w:r w:rsidRPr="00736AB6">
              <w:rPr>
                <w:sz w:val="22"/>
                <w:szCs w:val="22"/>
                <w:lang w:val="en-US"/>
              </w:rPr>
              <w:t xml:space="preserve">Isn’t everybody going to issue the same rationale for the incubator and the centrifuge, i.e. that the </w:t>
            </w:r>
            <w:r w:rsidR="00A12ECC" w:rsidRPr="00736AB6">
              <w:rPr>
                <w:sz w:val="22"/>
                <w:szCs w:val="22"/>
                <w:lang w:val="en-US"/>
              </w:rPr>
              <w:t>specific centrifugation/incubation time is not relevant with regard to the contamination risk</w:t>
            </w:r>
            <w:r w:rsidRPr="00736AB6">
              <w:rPr>
                <w:sz w:val="22"/>
                <w:szCs w:val="22"/>
                <w:lang w:val="en-US"/>
              </w:rPr>
              <w:t xml:space="preserve">? Isn’t it easier to simply accept not </w:t>
            </w:r>
            <w:r w:rsidR="007C017B" w:rsidRPr="00736AB6">
              <w:rPr>
                <w:sz w:val="22"/>
                <w:szCs w:val="22"/>
                <w:lang w:val="en-US"/>
              </w:rPr>
              <w:t>mimicking</w:t>
            </w:r>
            <w:r w:rsidRPr="00736AB6">
              <w:rPr>
                <w:sz w:val="22"/>
                <w:szCs w:val="22"/>
                <w:lang w:val="en-US"/>
              </w:rPr>
              <w:t xml:space="preserve"> the full duration of these steps?</w:t>
            </w:r>
          </w:p>
        </w:tc>
      </w:tr>
      <w:tr w:rsidR="00D7152A" w:rsidRPr="00736AB6" w14:paraId="5ADFAA28" w14:textId="77777777" w:rsidTr="008D3C48">
        <w:trPr>
          <w:cantSplit/>
          <w:tblHeader/>
        </w:trPr>
        <w:tc>
          <w:tcPr>
            <w:tcW w:w="1158" w:type="dxa"/>
          </w:tcPr>
          <w:p w14:paraId="38813C42" w14:textId="77777777" w:rsidR="00D7152A" w:rsidRPr="00736AB6" w:rsidRDefault="00D7152A" w:rsidP="003D7B3E">
            <w:pPr>
              <w:rPr>
                <w:sz w:val="22"/>
                <w:szCs w:val="22"/>
              </w:rPr>
            </w:pPr>
            <w:r w:rsidRPr="00736AB6">
              <w:rPr>
                <w:sz w:val="22"/>
                <w:szCs w:val="22"/>
              </w:rPr>
              <w:t>1357</w:t>
            </w:r>
          </w:p>
        </w:tc>
        <w:tc>
          <w:tcPr>
            <w:tcW w:w="3572" w:type="dxa"/>
          </w:tcPr>
          <w:p w14:paraId="50F18BD7" w14:textId="77777777" w:rsidR="00D7152A" w:rsidRPr="00736AB6" w:rsidRDefault="00D7152A" w:rsidP="003D7B3E">
            <w:pPr>
              <w:rPr>
                <w:sz w:val="22"/>
                <w:szCs w:val="22"/>
                <w:lang w:val="en-US"/>
              </w:rPr>
            </w:pPr>
            <w:r w:rsidRPr="00736AB6">
              <w:rPr>
                <w:sz w:val="22"/>
                <w:szCs w:val="22"/>
                <w:lang w:val="en-US"/>
              </w:rPr>
              <w:t>A reduced frequency in cases of infrequent production may be justified. Thus, if the interval between the production of two batches is more than six months the process simulation test can be done just before the manufacturing of the second batch (three consecutive runs should be performed)</w:t>
            </w:r>
          </w:p>
        </w:tc>
        <w:tc>
          <w:tcPr>
            <w:tcW w:w="3798" w:type="dxa"/>
          </w:tcPr>
          <w:p w14:paraId="5D8E851B" w14:textId="77777777" w:rsidR="00D7152A" w:rsidRPr="00736AB6" w:rsidRDefault="00D7152A" w:rsidP="003D7B3E">
            <w:pPr>
              <w:rPr>
                <w:sz w:val="22"/>
                <w:szCs w:val="22"/>
                <w:lang w:val="en-US"/>
              </w:rPr>
            </w:pPr>
            <w:r w:rsidRPr="00736AB6">
              <w:rPr>
                <w:sz w:val="22"/>
                <w:szCs w:val="22"/>
                <w:lang w:val="en-US"/>
              </w:rPr>
              <w:t>If three consecutive process simulations need to be performed before every batch, then this would result in more process simulations and therefore does not make sense (i.e. 1 batch per year would results in 3 process simulations, whereas in normal frequency, only 2 process simulations would need to be performed per year, i.e. 1/6 months (excluding the initial validation).</w:t>
            </w:r>
          </w:p>
          <w:p w14:paraId="3F953A05" w14:textId="77777777" w:rsidR="00D7152A" w:rsidRPr="00736AB6" w:rsidRDefault="00D7152A" w:rsidP="003D7B3E">
            <w:pPr>
              <w:rPr>
                <w:sz w:val="22"/>
                <w:szCs w:val="22"/>
                <w:lang w:val="en-US"/>
              </w:rPr>
            </w:pPr>
            <w:r w:rsidRPr="00736AB6">
              <w:rPr>
                <w:sz w:val="22"/>
                <w:szCs w:val="22"/>
                <w:lang w:val="en-US"/>
              </w:rPr>
              <w:t>Propose to either remove this sentence or provide more explanation</w:t>
            </w:r>
          </w:p>
        </w:tc>
      </w:tr>
      <w:tr w:rsidR="001104B2" w:rsidRPr="00736AB6" w14:paraId="536F3779" w14:textId="77777777" w:rsidTr="008D3C48">
        <w:trPr>
          <w:cantSplit/>
          <w:tblHeader/>
        </w:trPr>
        <w:tc>
          <w:tcPr>
            <w:tcW w:w="1158" w:type="dxa"/>
          </w:tcPr>
          <w:p w14:paraId="518FA04A" w14:textId="77777777" w:rsidR="001104B2" w:rsidRPr="00736AB6" w:rsidRDefault="001104B2" w:rsidP="003D7B3E">
            <w:pPr>
              <w:rPr>
                <w:sz w:val="22"/>
                <w:szCs w:val="22"/>
              </w:rPr>
            </w:pPr>
            <w:r w:rsidRPr="00736AB6">
              <w:rPr>
                <w:sz w:val="22"/>
                <w:szCs w:val="22"/>
              </w:rPr>
              <w:t>1461</w:t>
            </w:r>
          </w:p>
        </w:tc>
        <w:tc>
          <w:tcPr>
            <w:tcW w:w="3572" w:type="dxa"/>
          </w:tcPr>
          <w:p w14:paraId="0E0515F8" w14:textId="77777777" w:rsidR="001104B2" w:rsidRPr="00736AB6" w:rsidRDefault="001104B2" w:rsidP="003D7B3E">
            <w:pPr>
              <w:rPr>
                <w:sz w:val="22"/>
                <w:szCs w:val="22"/>
                <w:lang w:val="en-US"/>
              </w:rPr>
            </w:pPr>
            <w:r w:rsidRPr="00736AB6">
              <w:rPr>
                <w:sz w:val="22"/>
                <w:szCs w:val="22"/>
                <w:lang w:val="en-US"/>
              </w:rPr>
              <w:t>… in case of very small production</w:t>
            </w:r>
          </w:p>
        </w:tc>
        <w:tc>
          <w:tcPr>
            <w:tcW w:w="3798" w:type="dxa"/>
          </w:tcPr>
          <w:p w14:paraId="742891D3" w14:textId="77777777" w:rsidR="001104B2" w:rsidRPr="00736AB6" w:rsidRDefault="001104B2" w:rsidP="003D7B3E">
            <w:pPr>
              <w:rPr>
                <w:sz w:val="22"/>
                <w:szCs w:val="22"/>
                <w:lang w:val="en-US"/>
              </w:rPr>
            </w:pPr>
            <w:r w:rsidRPr="00736AB6">
              <w:rPr>
                <w:sz w:val="22"/>
                <w:szCs w:val="22"/>
                <w:lang w:val="en-US"/>
              </w:rPr>
              <w:t>Please define ‘very small production’; Is this lots/year, units/lot or otherwise defined?</w:t>
            </w:r>
          </w:p>
        </w:tc>
      </w:tr>
      <w:tr w:rsidR="001104B2" w:rsidRPr="00736AB6" w14:paraId="6F039511" w14:textId="77777777" w:rsidTr="008D3C48">
        <w:trPr>
          <w:cantSplit/>
          <w:tblHeader/>
        </w:trPr>
        <w:tc>
          <w:tcPr>
            <w:tcW w:w="1158" w:type="dxa"/>
          </w:tcPr>
          <w:p w14:paraId="6CB0057B" w14:textId="77777777" w:rsidR="001104B2" w:rsidRPr="00736AB6" w:rsidRDefault="001104B2" w:rsidP="003D7B3E">
            <w:pPr>
              <w:rPr>
                <w:sz w:val="22"/>
                <w:szCs w:val="22"/>
              </w:rPr>
            </w:pPr>
            <w:r w:rsidRPr="00736AB6">
              <w:rPr>
                <w:sz w:val="22"/>
                <w:szCs w:val="22"/>
              </w:rPr>
              <w:t>1773</w:t>
            </w:r>
          </w:p>
        </w:tc>
        <w:tc>
          <w:tcPr>
            <w:tcW w:w="3572" w:type="dxa"/>
          </w:tcPr>
          <w:p w14:paraId="37CF286F" w14:textId="77777777" w:rsidR="001104B2" w:rsidRPr="00736AB6" w:rsidRDefault="001104B2" w:rsidP="003D7B3E">
            <w:pPr>
              <w:rPr>
                <w:sz w:val="22"/>
                <w:szCs w:val="22"/>
                <w:lang w:val="en-US"/>
              </w:rPr>
            </w:pPr>
            <w:r w:rsidRPr="00736AB6">
              <w:rPr>
                <w:sz w:val="22"/>
                <w:szCs w:val="22"/>
                <w:lang w:val="en-US"/>
              </w:rPr>
              <w:t>Two-step release procedure: by the QP and by the sponsor.</w:t>
            </w:r>
          </w:p>
        </w:tc>
        <w:tc>
          <w:tcPr>
            <w:tcW w:w="3798" w:type="dxa"/>
          </w:tcPr>
          <w:p w14:paraId="6417A910" w14:textId="77777777" w:rsidR="001104B2" w:rsidRPr="00736AB6" w:rsidRDefault="007C2F1E" w:rsidP="003D7B3E">
            <w:pPr>
              <w:rPr>
                <w:sz w:val="22"/>
                <w:szCs w:val="22"/>
                <w:lang w:val="en-US"/>
              </w:rPr>
            </w:pPr>
            <w:r w:rsidRPr="00736AB6">
              <w:rPr>
                <w:sz w:val="22"/>
                <w:szCs w:val="22"/>
                <w:lang w:val="en-US"/>
              </w:rPr>
              <w:t>For products with a very short shelf life (e.g. 2 hours), i</w:t>
            </w:r>
            <w:r w:rsidR="001104B2" w:rsidRPr="00736AB6">
              <w:rPr>
                <w:sz w:val="22"/>
                <w:szCs w:val="22"/>
                <w:lang w:val="en-US"/>
              </w:rPr>
              <w:t xml:space="preserve">t is difficult enough to get a single release (by the QP) </w:t>
            </w:r>
            <w:r w:rsidR="00027F6A" w:rsidRPr="00736AB6">
              <w:rPr>
                <w:sz w:val="22"/>
                <w:szCs w:val="22"/>
                <w:lang w:val="en-US"/>
              </w:rPr>
              <w:t>organized</w:t>
            </w:r>
            <w:r w:rsidR="001104B2" w:rsidRPr="00736AB6">
              <w:rPr>
                <w:sz w:val="22"/>
                <w:szCs w:val="22"/>
                <w:lang w:val="en-US"/>
              </w:rPr>
              <w:t xml:space="preserve"> in the available timeframe, let alone introducing a second release. This is not practicable.</w:t>
            </w:r>
          </w:p>
          <w:p w14:paraId="214F01C5" w14:textId="43A69CA8" w:rsidR="00A12ECC" w:rsidRPr="00736AB6" w:rsidRDefault="00A12ECC" w:rsidP="003D7B3E">
            <w:pPr>
              <w:rPr>
                <w:sz w:val="22"/>
                <w:szCs w:val="22"/>
                <w:lang w:val="en-US"/>
              </w:rPr>
            </w:pPr>
            <w:r w:rsidRPr="00736AB6">
              <w:rPr>
                <w:sz w:val="22"/>
                <w:szCs w:val="22"/>
                <w:lang w:val="en-US"/>
              </w:rPr>
              <w:t xml:space="preserve">A solution could be to separate the release by the QP and the sponsor in time, i.e. </w:t>
            </w:r>
            <w:r w:rsidR="0009313A" w:rsidRPr="00736AB6">
              <w:rPr>
                <w:sz w:val="22"/>
                <w:szCs w:val="22"/>
                <w:lang w:val="en-US"/>
              </w:rPr>
              <w:t xml:space="preserve">have the sponsor release the application of the product for a specific trial based on the approval of the competent authorities, and have the QP release the individual products. </w:t>
            </w:r>
          </w:p>
        </w:tc>
      </w:tr>
      <w:tr w:rsidR="001104B2" w:rsidRPr="00736AB6" w14:paraId="1A9E94A5" w14:textId="77777777" w:rsidTr="008D3C48">
        <w:trPr>
          <w:cantSplit/>
          <w:tblHeader/>
        </w:trPr>
        <w:tc>
          <w:tcPr>
            <w:tcW w:w="1158" w:type="dxa"/>
          </w:tcPr>
          <w:p w14:paraId="777A9759" w14:textId="77777777" w:rsidR="001104B2" w:rsidRPr="00736AB6" w:rsidRDefault="001104B2" w:rsidP="003D7B3E">
            <w:pPr>
              <w:rPr>
                <w:sz w:val="22"/>
                <w:szCs w:val="22"/>
                <w:lang w:val="en-US"/>
              </w:rPr>
            </w:pPr>
            <w:r w:rsidRPr="00736AB6">
              <w:rPr>
                <w:sz w:val="22"/>
                <w:szCs w:val="22"/>
                <w:lang w:val="en-US"/>
              </w:rPr>
              <w:t>1817</w:t>
            </w:r>
          </w:p>
        </w:tc>
        <w:tc>
          <w:tcPr>
            <w:tcW w:w="3572" w:type="dxa"/>
          </w:tcPr>
          <w:p w14:paraId="350D1A02" w14:textId="77777777" w:rsidR="001104B2" w:rsidRPr="00736AB6" w:rsidRDefault="001104B2" w:rsidP="003D7B3E">
            <w:pPr>
              <w:rPr>
                <w:sz w:val="22"/>
                <w:szCs w:val="22"/>
                <w:lang w:val="en-US"/>
              </w:rPr>
            </w:pPr>
            <w:r w:rsidRPr="00736AB6">
              <w:rPr>
                <w:sz w:val="22"/>
                <w:szCs w:val="22"/>
                <w:lang w:val="en-US"/>
              </w:rPr>
              <w:t>Instances of administration of an out-of specification product to a clinical trial subject should be notified to the relevant competent authorities.</w:t>
            </w:r>
          </w:p>
        </w:tc>
        <w:tc>
          <w:tcPr>
            <w:tcW w:w="3798" w:type="dxa"/>
          </w:tcPr>
          <w:p w14:paraId="52AB8F20" w14:textId="77777777" w:rsidR="001104B2" w:rsidRPr="00736AB6" w:rsidRDefault="001104B2" w:rsidP="003D7B3E">
            <w:pPr>
              <w:rPr>
                <w:sz w:val="22"/>
                <w:szCs w:val="22"/>
                <w:lang w:val="en-US"/>
              </w:rPr>
            </w:pPr>
            <w:r w:rsidRPr="00736AB6">
              <w:rPr>
                <w:sz w:val="22"/>
                <w:szCs w:val="22"/>
                <w:lang w:val="en-US"/>
              </w:rPr>
              <w:t>Each time or is it sufficient to report these instances on a yearly basis?</w:t>
            </w:r>
          </w:p>
        </w:tc>
      </w:tr>
      <w:tr w:rsidR="00CB554F" w:rsidRPr="00736AB6" w14:paraId="4B7BC11B" w14:textId="77777777" w:rsidTr="008D3C48">
        <w:trPr>
          <w:cantSplit/>
          <w:tblHeader/>
        </w:trPr>
        <w:tc>
          <w:tcPr>
            <w:tcW w:w="1158" w:type="dxa"/>
          </w:tcPr>
          <w:p w14:paraId="50B9457F" w14:textId="77777777" w:rsidR="00CB554F" w:rsidRPr="00736AB6" w:rsidRDefault="00CB554F" w:rsidP="003D7B3E">
            <w:pPr>
              <w:rPr>
                <w:sz w:val="22"/>
                <w:szCs w:val="22"/>
                <w:lang w:val="en-US"/>
              </w:rPr>
            </w:pPr>
            <w:r w:rsidRPr="00736AB6">
              <w:rPr>
                <w:sz w:val="22"/>
                <w:szCs w:val="22"/>
                <w:lang w:val="en-US"/>
              </w:rPr>
              <w:t>2104</w:t>
            </w:r>
          </w:p>
        </w:tc>
        <w:tc>
          <w:tcPr>
            <w:tcW w:w="3572" w:type="dxa"/>
          </w:tcPr>
          <w:p w14:paraId="6EAC04E2" w14:textId="77777777" w:rsidR="00CB554F" w:rsidRPr="00736AB6" w:rsidRDefault="00CB554F" w:rsidP="003D7B3E">
            <w:pPr>
              <w:rPr>
                <w:sz w:val="22"/>
                <w:szCs w:val="22"/>
                <w:lang w:val="en-US"/>
              </w:rPr>
            </w:pPr>
            <w:r w:rsidRPr="00736AB6">
              <w:rPr>
                <w:sz w:val="22"/>
                <w:szCs w:val="22"/>
                <w:lang w:val="en-US"/>
              </w:rPr>
              <w:t>The manufacturer should validate the reconstitution processes to be followed from the point</w:t>
            </w:r>
            <w:r w:rsidRPr="00736AB6">
              <w:rPr>
                <w:rFonts w:cs="Calibri"/>
                <w:sz w:val="22"/>
                <w:szCs w:val="22"/>
                <w:lang w:val="en-US"/>
              </w:rPr>
              <w:t xml:space="preserve"> </w:t>
            </w:r>
            <w:r w:rsidRPr="00736AB6">
              <w:rPr>
                <w:sz w:val="22"/>
                <w:szCs w:val="22"/>
                <w:lang w:val="en-US"/>
              </w:rPr>
              <w:t>of batch release to the moment of administration to the patient;</w:t>
            </w:r>
          </w:p>
        </w:tc>
        <w:tc>
          <w:tcPr>
            <w:tcW w:w="3798" w:type="dxa"/>
          </w:tcPr>
          <w:p w14:paraId="58443395" w14:textId="77777777" w:rsidR="00CB554F" w:rsidRPr="00736AB6" w:rsidRDefault="00CB554F" w:rsidP="003D7B3E">
            <w:pPr>
              <w:rPr>
                <w:sz w:val="22"/>
                <w:szCs w:val="22"/>
                <w:lang w:val="en-US"/>
              </w:rPr>
            </w:pPr>
            <w:r w:rsidRPr="00736AB6">
              <w:rPr>
                <w:sz w:val="22"/>
                <w:szCs w:val="22"/>
                <w:lang w:val="en-US"/>
              </w:rPr>
              <w:t>Presumably, process validation is not required for investigational ATMPs, analogous to section 10.3?</w:t>
            </w:r>
          </w:p>
        </w:tc>
      </w:tr>
    </w:tbl>
    <w:p w14:paraId="65AC0AD0" w14:textId="77777777" w:rsidR="008D3C48" w:rsidRPr="008D3C48" w:rsidRDefault="008D3C48" w:rsidP="008D3C48">
      <w:pPr>
        <w:rPr>
          <w:lang w:val="en-US"/>
        </w:rPr>
      </w:pPr>
    </w:p>
    <w:sectPr w:rsidR="008D3C48" w:rsidRPr="008D3C48" w:rsidSect="003071BE">
      <w:pgSz w:w="11906" w:h="16838"/>
      <w:pgMar w:top="1440" w:right="1797" w:bottom="1440" w:left="1797" w:header="709" w:footer="709" w:gutter="0"/>
      <w:cols w:space="708"/>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AB3A919" w15:done="0"/>
  <w15:commentEx w15:paraId="53AC454B" w15:done="0"/>
  <w15:commentEx w15:paraId="5D031A23" w15:done="0"/>
  <w15:commentEx w15:paraId="123753D5" w15:done="0"/>
  <w15:commentEx w15:paraId="5E5AD7C5" w15:done="0"/>
  <w15:commentEx w15:paraId="323CDDC2" w15:done="0"/>
  <w15:commentEx w15:paraId="3E39A925"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imothy Devos">
    <w15:presenceInfo w15:providerId="AD" w15:userId="S-1-5-21-2123780637-82641590-1866013658-3521"/>
  </w15:person>
  <w15:person w15:author="Harry Dolstra">
    <w15:presenceInfo w15:providerId="Windows Live" w15:userId="23ff0228549af8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3C48"/>
    <w:rsid w:val="0000556E"/>
    <w:rsid w:val="00027F6A"/>
    <w:rsid w:val="00075B4A"/>
    <w:rsid w:val="0009313A"/>
    <w:rsid w:val="00096E62"/>
    <w:rsid w:val="000E616F"/>
    <w:rsid w:val="001104B2"/>
    <w:rsid w:val="001240C2"/>
    <w:rsid w:val="00145D79"/>
    <w:rsid w:val="001B478B"/>
    <w:rsid w:val="001E4A2F"/>
    <w:rsid w:val="00206EAE"/>
    <w:rsid w:val="002120F0"/>
    <w:rsid w:val="00215102"/>
    <w:rsid w:val="00220763"/>
    <w:rsid w:val="00225498"/>
    <w:rsid w:val="002A1CB1"/>
    <w:rsid w:val="002D4EA5"/>
    <w:rsid w:val="0030293D"/>
    <w:rsid w:val="003071BE"/>
    <w:rsid w:val="00333DA8"/>
    <w:rsid w:val="00374B68"/>
    <w:rsid w:val="003B507D"/>
    <w:rsid w:val="003B687C"/>
    <w:rsid w:val="003D388C"/>
    <w:rsid w:val="003D7B3E"/>
    <w:rsid w:val="003E5840"/>
    <w:rsid w:val="00404F0A"/>
    <w:rsid w:val="00420282"/>
    <w:rsid w:val="004773BC"/>
    <w:rsid w:val="0049766A"/>
    <w:rsid w:val="004A1B5F"/>
    <w:rsid w:val="004F5A18"/>
    <w:rsid w:val="00506AB8"/>
    <w:rsid w:val="00567960"/>
    <w:rsid w:val="005B2A00"/>
    <w:rsid w:val="005E1FEE"/>
    <w:rsid w:val="0061361D"/>
    <w:rsid w:val="006310CE"/>
    <w:rsid w:val="00634895"/>
    <w:rsid w:val="0064447B"/>
    <w:rsid w:val="00680CB1"/>
    <w:rsid w:val="006C4875"/>
    <w:rsid w:val="006F7A82"/>
    <w:rsid w:val="00736AB6"/>
    <w:rsid w:val="00782249"/>
    <w:rsid w:val="007909A9"/>
    <w:rsid w:val="007B12F0"/>
    <w:rsid w:val="007B1FEA"/>
    <w:rsid w:val="007B38D9"/>
    <w:rsid w:val="007C017B"/>
    <w:rsid w:val="007C2F1E"/>
    <w:rsid w:val="007D5FD2"/>
    <w:rsid w:val="007F50E2"/>
    <w:rsid w:val="008347A8"/>
    <w:rsid w:val="00860786"/>
    <w:rsid w:val="008A0384"/>
    <w:rsid w:val="008A22DD"/>
    <w:rsid w:val="008B568D"/>
    <w:rsid w:val="008D3C48"/>
    <w:rsid w:val="008D534B"/>
    <w:rsid w:val="008F3635"/>
    <w:rsid w:val="0090438E"/>
    <w:rsid w:val="00914107"/>
    <w:rsid w:val="00934CFF"/>
    <w:rsid w:val="00956B8B"/>
    <w:rsid w:val="00960C0D"/>
    <w:rsid w:val="009645DC"/>
    <w:rsid w:val="00976992"/>
    <w:rsid w:val="00996A9B"/>
    <w:rsid w:val="009A5962"/>
    <w:rsid w:val="009D43F5"/>
    <w:rsid w:val="009E6F42"/>
    <w:rsid w:val="00A01C93"/>
    <w:rsid w:val="00A12ECC"/>
    <w:rsid w:val="00A2225C"/>
    <w:rsid w:val="00A25814"/>
    <w:rsid w:val="00A72D70"/>
    <w:rsid w:val="00A8131B"/>
    <w:rsid w:val="00A91487"/>
    <w:rsid w:val="00AF0A9C"/>
    <w:rsid w:val="00B018C0"/>
    <w:rsid w:val="00B26083"/>
    <w:rsid w:val="00B96E23"/>
    <w:rsid w:val="00BC5699"/>
    <w:rsid w:val="00C6705D"/>
    <w:rsid w:val="00C847EE"/>
    <w:rsid w:val="00CB554F"/>
    <w:rsid w:val="00CB5805"/>
    <w:rsid w:val="00CC658E"/>
    <w:rsid w:val="00CE5EC7"/>
    <w:rsid w:val="00D3249C"/>
    <w:rsid w:val="00D41B7B"/>
    <w:rsid w:val="00D47C20"/>
    <w:rsid w:val="00D7152A"/>
    <w:rsid w:val="00D7516D"/>
    <w:rsid w:val="00D8645E"/>
    <w:rsid w:val="00DE72C9"/>
    <w:rsid w:val="00E02208"/>
    <w:rsid w:val="00E4374A"/>
    <w:rsid w:val="00E90713"/>
    <w:rsid w:val="00E93D61"/>
    <w:rsid w:val="00E957BD"/>
    <w:rsid w:val="00EA0C16"/>
    <w:rsid w:val="00EF33BD"/>
    <w:rsid w:val="00F1008D"/>
    <w:rsid w:val="00F62EB3"/>
    <w:rsid w:val="00FA0DC9"/>
    <w:rsid w:val="00FC737F"/>
    <w:rsid w:val="00FC7695"/>
    <w:rsid w:val="00FE4956"/>
    <w:rsid w:val="00FE6E3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A3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3C48"/>
    <w:pPr>
      <w:spacing w:after="0" w:line="240" w:lineRule="auto"/>
    </w:pPr>
    <w:rPr>
      <w:rFonts w:eastAsiaTheme="minorEastAsia"/>
      <w:sz w:val="24"/>
      <w:szCs w:val="24"/>
      <w:lang w:val="nl-BE"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D3C48"/>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val="en-US" w:eastAsia="nl-NL"/>
    </w:rPr>
  </w:style>
  <w:style w:type="character" w:styleId="CommentReference">
    <w:name w:val="annotation reference"/>
    <w:basedOn w:val="DefaultParagraphFont"/>
    <w:uiPriority w:val="99"/>
    <w:semiHidden/>
    <w:unhideWhenUsed/>
    <w:rsid w:val="007C2F1E"/>
    <w:rPr>
      <w:sz w:val="16"/>
      <w:szCs w:val="16"/>
    </w:rPr>
  </w:style>
  <w:style w:type="paragraph" w:styleId="CommentText">
    <w:name w:val="annotation text"/>
    <w:basedOn w:val="Normal"/>
    <w:link w:val="CommentTextChar"/>
    <w:uiPriority w:val="99"/>
    <w:semiHidden/>
    <w:unhideWhenUsed/>
    <w:rsid w:val="007C2F1E"/>
    <w:pPr>
      <w:spacing w:line="240" w:lineRule="auto"/>
    </w:pPr>
    <w:rPr>
      <w:sz w:val="20"/>
      <w:szCs w:val="20"/>
    </w:rPr>
  </w:style>
  <w:style w:type="character" w:customStyle="1" w:styleId="CommentTextChar">
    <w:name w:val="Comment Text Char"/>
    <w:basedOn w:val="DefaultParagraphFont"/>
    <w:link w:val="CommentText"/>
    <w:uiPriority w:val="99"/>
    <w:semiHidden/>
    <w:rsid w:val="007C2F1E"/>
    <w:rPr>
      <w:sz w:val="20"/>
      <w:szCs w:val="20"/>
    </w:rPr>
  </w:style>
  <w:style w:type="paragraph" w:styleId="CommentSubject">
    <w:name w:val="annotation subject"/>
    <w:basedOn w:val="CommentText"/>
    <w:next w:val="CommentText"/>
    <w:link w:val="CommentSubjectChar"/>
    <w:uiPriority w:val="99"/>
    <w:semiHidden/>
    <w:unhideWhenUsed/>
    <w:rsid w:val="007C2F1E"/>
    <w:rPr>
      <w:b/>
      <w:bCs/>
    </w:rPr>
  </w:style>
  <w:style w:type="character" w:customStyle="1" w:styleId="CommentSubjectChar">
    <w:name w:val="Comment Subject Char"/>
    <w:basedOn w:val="CommentTextChar"/>
    <w:link w:val="CommentSubject"/>
    <w:uiPriority w:val="99"/>
    <w:semiHidden/>
    <w:rsid w:val="007C2F1E"/>
    <w:rPr>
      <w:b/>
      <w:bCs/>
      <w:sz w:val="20"/>
      <w:szCs w:val="20"/>
    </w:rPr>
  </w:style>
  <w:style w:type="paragraph" w:styleId="BalloonText">
    <w:name w:val="Balloon Text"/>
    <w:basedOn w:val="Normal"/>
    <w:link w:val="BalloonTextChar"/>
    <w:uiPriority w:val="99"/>
    <w:semiHidden/>
    <w:unhideWhenUsed/>
    <w:rsid w:val="007C2F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F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3C48"/>
    <w:pPr>
      <w:spacing w:after="0" w:line="240" w:lineRule="auto"/>
    </w:pPr>
    <w:rPr>
      <w:rFonts w:eastAsiaTheme="minorEastAsia"/>
      <w:sz w:val="24"/>
      <w:szCs w:val="24"/>
      <w:lang w:val="nl-BE"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D3C48"/>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val="en-US" w:eastAsia="nl-NL"/>
    </w:rPr>
  </w:style>
  <w:style w:type="character" w:styleId="CommentReference">
    <w:name w:val="annotation reference"/>
    <w:basedOn w:val="DefaultParagraphFont"/>
    <w:uiPriority w:val="99"/>
    <w:semiHidden/>
    <w:unhideWhenUsed/>
    <w:rsid w:val="007C2F1E"/>
    <w:rPr>
      <w:sz w:val="16"/>
      <w:szCs w:val="16"/>
    </w:rPr>
  </w:style>
  <w:style w:type="paragraph" w:styleId="CommentText">
    <w:name w:val="annotation text"/>
    <w:basedOn w:val="Normal"/>
    <w:link w:val="CommentTextChar"/>
    <w:uiPriority w:val="99"/>
    <w:semiHidden/>
    <w:unhideWhenUsed/>
    <w:rsid w:val="007C2F1E"/>
    <w:pPr>
      <w:spacing w:line="240" w:lineRule="auto"/>
    </w:pPr>
    <w:rPr>
      <w:sz w:val="20"/>
      <w:szCs w:val="20"/>
    </w:rPr>
  </w:style>
  <w:style w:type="character" w:customStyle="1" w:styleId="CommentTextChar">
    <w:name w:val="Comment Text Char"/>
    <w:basedOn w:val="DefaultParagraphFont"/>
    <w:link w:val="CommentText"/>
    <w:uiPriority w:val="99"/>
    <w:semiHidden/>
    <w:rsid w:val="007C2F1E"/>
    <w:rPr>
      <w:sz w:val="20"/>
      <w:szCs w:val="20"/>
    </w:rPr>
  </w:style>
  <w:style w:type="paragraph" w:styleId="CommentSubject">
    <w:name w:val="annotation subject"/>
    <w:basedOn w:val="CommentText"/>
    <w:next w:val="CommentText"/>
    <w:link w:val="CommentSubjectChar"/>
    <w:uiPriority w:val="99"/>
    <w:semiHidden/>
    <w:unhideWhenUsed/>
    <w:rsid w:val="007C2F1E"/>
    <w:rPr>
      <w:b/>
      <w:bCs/>
    </w:rPr>
  </w:style>
  <w:style w:type="character" w:customStyle="1" w:styleId="CommentSubjectChar">
    <w:name w:val="Comment Subject Char"/>
    <w:basedOn w:val="CommentTextChar"/>
    <w:link w:val="CommentSubject"/>
    <w:uiPriority w:val="99"/>
    <w:semiHidden/>
    <w:rsid w:val="007C2F1E"/>
    <w:rPr>
      <w:b/>
      <w:bCs/>
      <w:sz w:val="20"/>
      <w:szCs w:val="20"/>
    </w:rPr>
  </w:style>
  <w:style w:type="paragraph" w:styleId="BalloonText">
    <w:name w:val="Balloon Text"/>
    <w:basedOn w:val="Normal"/>
    <w:link w:val="BalloonTextChar"/>
    <w:uiPriority w:val="99"/>
    <w:semiHidden/>
    <w:unhideWhenUsed/>
    <w:rsid w:val="007C2F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F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7279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1389</Words>
  <Characters>7629</Characters>
  <Application>Microsoft Office Word</Application>
  <DocSecurity>4</DocSecurity>
  <Lines>305</Lines>
  <Paragraphs>115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Universitair Medisch Centrum Groningen</Company>
  <LinksUpToDate>false</LinksUpToDate>
  <CharactersWithSpaces>8903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Jorritsma-Smit, A (apoth)</dc:creator>
  <cp:lastModifiedBy>VERBEIREN Isabelle (SANCO)</cp:lastModifiedBy>
  <cp:revision>2</cp:revision>
  <dcterms:created xsi:type="dcterms:W3CDTF">2016-10-04T12:34:00Z</dcterms:created>
  <dcterms:modified xsi:type="dcterms:W3CDTF">2016-10-04T12:34:00Z</dcterms:modified>
</cp:coreProperties>
</file>