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BFF1" w14:textId="77777777" w:rsidR="004B6858" w:rsidRDefault="004C4919" w:rsidP="00847BF0">
      <w:pPr>
        <w:spacing w:after="0" w:line="240" w:lineRule="auto"/>
        <w:jc w:val="both"/>
        <w:rPr>
          <w:rFonts w:ascii="Arial" w:hAnsi="Arial" w:cs="Arial"/>
          <w:b/>
          <w:sz w:val="20"/>
          <w:szCs w:val="20"/>
        </w:rPr>
      </w:pPr>
      <w:bookmarkStart w:id="0" w:name="_GoBack"/>
      <w:bookmarkEnd w:id="0"/>
      <w:r>
        <w:rPr>
          <w:rFonts w:ascii="Arial" w:hAnsi="Arial" w:cs="Arial"/>
          <w:b/>
          <w:noProof/>
          <w:sz w:val="20"/>
          <w:szCs w:val="20"/>
        </w:rPr>
        <w:drawing>
          <wp:anchor distT="0" distB="0" distL="114300" distR="114300" simplePos="0" relativeHeight="251658240" behindDoc="1" locked="0" layoutInCell="1" allowOverlap="1" wp14:anchorId="0EF92524" wp14:editId="07129F96">
            <wp:simplePos x="0" y="0"/>
            <wp:positionH relativeFrom="column">
              <wp:posOffset>5548630</wp:posOffset>
            </wp:positionH>
            <wp:positionV relativeFrom="paragraph">
              <wp:posOffset>0</wp:posOffset>
            </wp:positionV>
            <wp:extent cx="2888615" cy="892810"/>
            <wp:effectExtent l="0" t="0" r="6985" b="2540"/>
            <wp:wrapTight wrapText="bothSides">
              <wp:wrapPolygon edited="0">
                <wp:start x="0" y="0"/>
                <wp:lineTo x="0" y="21201"/>
                <wp:lineTo x="21510" y="21201"/>
                <wp:lineTo x="21510" y="0"/>
                <wp:lineTo x="0" y="0"/>
              </wp:wrapPolygon>
            </wp:wrapTight>
            <wp:docPr id="1" name="Grafik 1" descr="Eucope-LOGO-RZ_rgb_g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ope-LOGO-RZ_rgb_g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61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F46C2" w14:textId="77777777" w:rsidR="004C4919" w:rsidRDefault="004C4919" w:rsidP="004C4919">
      <w:pPr>
        <w:tabs>
          <w:tab w:val="left" w:pos="11556"/>
        </w:tabs>
        <w:spacing w:after="0" w:line="240" w:lineRule="auto"/>
        <w:jc w:val="both"/>
        <w:rPr>
          <w:rFonts w:ascii="Arial" w:hAnsi="Arial" w:cs="Arial"/>
          <w:b/>
          <w:sz w:val="20"/>
          <w:szCs w:val="20"/>
        </w:rPr>
      </w:pPr>
      <w:r>
        <w:rPr>
          <w:rFonts w:ascii="Arial" w:hAnsi="Arial" w:cs="Arial"/>
          <w:b/>
          <w:sz w:val="20"/>
          <w:szCs w:val="20"/>
        </w:rPr>
        <w:tab/>
      </w:r>
    </w:p>
    <w:p w14:paraId="083A61E3" w14:textId="77777777" w:rsidR="004C4919" w:rsidRDefault="004C4919" w:rsidP="00847BF0">
      <w:pPr>
        <w:spacing w:after="0" w:line="240" w:lineRule="auto"/>
        <w:jc w:val="both"/>
        <w:rPr>
          <w:rFonts w:ascii="Arial" w:hAnsi="Arial" w:cs="Arial"/>
          <w:b/>
          <w:sz w:val="20"/>
          <w:szCs w:val="20"/>
        </w:rPr>
      </w:pPr>
    </w:p>
    <w:p w14:paraId="42C9FA09" w14:textId="77777777" w:rsidR="004C4919" w:rsidRDefault="004C4919" w:rsidP="00847BF0">
      <w:pPr>
        <w:spacing w:after="0" w:line="240" w:lineRule="auto"/>
        <w:jc w:val="both"/>
        <w:rPr>
          <w:rFonts w:ascii="Arial" w:hAnsi="Arial" w:cs="Arial"/>
          <w:b/>
          <w:sz w:val="20"/>
          <w:szCs w:val="20"/>
        </w:rPr>
      </w:pPr>
    </w:p>
    <w:p w14:paraId="598A0A6D" w14:textId="77777777" w:rsidR="004C4919" w:rsidRDefault="004C4919" w:rsidP="00847BF0">
      <w:pPr>
        <w:spacing w:after="0" w:line="240" w:lineRule="auto"/>
        <w:jc w:val="both"/>
        <w:rPr>
          <w:rFonts w:ascii="Arial" w:hAnsi="Arial" w:cs="Arial"/>
          <w:b/>
          <w:sz w:val="20"/>
          <w:szCs w:val="20"/>
        </w:rPr>
      </w:pPr>
    </w:p>
    <w:p w14:paraId="1FBEEBAA" w14:textId="77777777" w:rsidR="004C4919" w:rsidRDefault="004C4919" w:rsidP="00847BF0">
      <w:pPr>
        <w:spacing w:after="0" w:line="240" w:lineRule="auto"/>
        <w:jc w:val="both"/>
        <w:rPr>
          <w:rFonts w:ascii="Arial" w:hAnsi="Arial" w:cs="Arial"/>
          <w:b/>
          <w:sz w:val="20"/>
          <w:szCs w:val="20"/>
        </w:rPr>
      </w:pPr>
    </w:p>
    <w:p w14:paraId="7A639A18" w14:textId="77777777" w:rsidR="004C4919" w:rsidRDefault="004C4919" w:rsidP="00847BF0">
      <w:pPr>
        <w:spacing w:after="0" w:line="240" w:lineRule="auto"/>
        <w:jc w:val="both"/>
        <w:rPr>
          <w:rFonts w:ascii="Arial" w:hAnsi="Arial" w:cs="Arial"/>
          <w:b/>
          <w:sz w:val="20"/>
          <w:szCs w:val="20"/>
        </w:rPr>
      </w:pPr>
    </w:p>
    <w:p w14:paraId="5A1B738B" w14:textId="77777777" w:rsidR="004B6858" w:rsidRDefault="004B6858" w:rsidP="00847BF0">
      <w:pPr>
        <w:spacing w:after="0" w:line="240" w:lineRule="auto"/>
        <w:jc w:val="both"/>
        <w:rPr>
          <w:rFonts w:ascii="Arial" w:hAnsi="Arial" w:cs="Arial"/>
          <w:b/>
          <w:sz w:val="20"/>
          <w:szCs w:val="20"/>
        </w:rPr>
      </w:pPr>
    </w:p>
    <w:p w14:paraId="6A2C79D4" w14:textId="77777777" w:rsidR="00D338F5" w:rsidRDefault="004B6858" w:rsidP="00E51302">
      <w:pPr>
        <w:spacing w:after="0" w:line="240" w:lineRule="auto"/>
        <w:jc w:val="both"/>
        <w:outlineLvl w:val="0"/>
        <w:rPr>
          <w:rFonts w:ascii="Arial" w:hAnsi="Arial" w:cs="Arial"/>
          <w:b/>
          <w:bCs/>
          <w:sz w:val="36"/>
          <w:szCs w:val="36"/>
        </w:rPr>
      </w:pPr>
      <w:r w:rsidRPr="004C4919">
        <w:rPr>
          <w:rFonts w:ascii="Arial" w:hAnsi="Arial" w:cs="Arial"/>
          <w:b/>
          <w:bCs/>
          <w:sz w:val="36"/>
          <w:szCs w:val="36"/>
        </w:rPr>
        <w:t>Submission of comments on</w:t>
      </w:r>
      <w:r w:rsidR="004C4919" w:rsidRPr="004C4919">
        <w:rPr>
          <w:rFonts w:ascii="Arial" w:hAnsi="Arial" w:cs="Arial"/>
          <w:b/>
          <w:bCs/>
          <w:sz w:val="36"/>
          <w:szCs w:val="36"/>
        </w:rPr>
        <w:t xml:space="preserve"> the Consultation Document </w:t>
      </w:r>
    </w:p>
    <w:p w14:paraId="474AAE28" w14:textId="77777777" w:rsidR="00D338F5" w:rsidRDefault="00D338F5" w:rsidP="00D338F5">
      <w:pPr>
        <w:spacing w:after="0" w:line="240" w:lineRule="auto"/>
        <w:jc w:val="both"/>
        <w:rPr>
          <w:rFonts w:ascii="Arial" w:hAnsi="Arial" w:cs="Arial"/>
          <w:b/>
          <w:bCs/>
          <w:sz w:val="36"/>
          <w:szCs w:val="36"/>
        </w:rPr>
      </w:pPr>
    </w:p>
    <w:p w14:paraId="25482E0D" w14:textId="1A18F999" w:rsidR="004B6858" w:rsidRPr="004C4919" w:rsidRDefault="00B7529B" w:rsidP="004B6858">
      <w:pPr>
        <w:spacing w:after="0" w:line="240" w:lineRule="auto"/>
        <w:jc w:val="both"/>
        <w:rPr>
          <w:rFonts w:ascii="Arial" w:hAnsi="Arial" w:cs="Arial"/>
          <w:b/>
          <w:bCs/>
          <w:sz w:val="36"/>
          <w:szCs w:val="36"/>
        </w:rPr>
      </w:pPr>
      <w:r w:rsidRPr="00B7529B">
        <w:rPr>
          <w:rFonts w:ascii="Arial" w:hAnsi="Arial" w:cs="Arial"/>
          <w:b/>
          <w:bCs/>
          <w:sz w:val="36"/>
          <w:szCs w:val="36"/>
        </w:rPr>
        <w:t>'GOOD MANUFACTURING PRACTICE FOR ADVANCED THERAPY MEDICINAL PRODUCTS'</w:t>
      </w:r>
    </w:p>
    <w:p w14:paraId="5D1B6C02" w14:textId="77777777" w:rsidR="00D338F5" w:rsidRPr="004C4919" w:rsidRDefault="00D338F5" w:rsidP="004C4919">
      <w:pPr>
        <w:spacing w:after="0" w:line="240" w:lineRule="auto"/>
        <w:jc w:val="both"/>
        <w:rPr>
          <w:rFonts w:ascii="Arial" w:hAnsi="Arial" w:cs="Arial"/>
          <w:b/>
          <w:bCs/>
          <w:sz w:val="40"/>
          <w:szCs w:val="40"/>
        </w:rPr>
      </w:pPr>
    </w:p>
    <w:p w14:paraId="000B66EA" w14:textId="77777777" w:rsidR="004C4919" w:rsidRDefault="004C4919" w:rsidP="004C4919">
      <w:pPr>
        <w:spacing w:after="0" w:line="240" w:lineRule="auto"/>
        <w:jc w:val="both"/>
        <w:rPr>
          <w:rFonts w:ascii="Arial" w:hAnsi="Arial" w:cs="Arial"/>
          <w:b/>
          <w:bCs/>
          <w:sz w:val="44"/>
          <w:szCs w:val="44"/>
        </w:rPr>
      </w:pPr>
    </w:p>
    <w:p w14:paraId="5077DED9" w14:textId="77777777" w:rsidR="004C4919" w:rsidRDefault="004C4919" w:rsidP="004C4919">
      <w:pPr>
        <w:spacing w:after="0" w:line="240" w:lineRule="auto"/>
        <w:jc w:val="both"/>
        <w:rPr>
          <w:rFonts w:ascii="Arial" w:hAnsi="Arial" w:cs="Arial"/>
          <w:b/>
          <w:bCs/>
          <w:sz w:val="44"/>
          <w:szCs w:val="44"/>
        </w:rPr>
      </w:pPr>
    </w:p>
    <w:p w14:paraId="21ACFB62" w14:textId="1D048F59" w:rsidR="004C4919" w:rsidRPr="004C4919" w:rsidRDefault="00E51302" w:rsidP="00E51302">
      <w:pPr>
        <w:spacing w:after="0" w:line="360" w:lineRule="auto"/>
        <w:jc w:val="both"/>
        <w:outlineLvl w:val="0"/>
        <w:rPr>
          <w:rFonts w:ascii="Arial" w:hAnsi="Arial" w:cs="Arial"/>
          <w:bCs/>
          <w:sz w:val="24"/>
          <w:szCs w:val="24"/>
        </w:rPr>
      </w:pPr>
      <w:r>
        <w:rPr>
          <w:rFonts w:ascii="Arial" w:hAnsi="Arial" w:cs="Arial"/>
          <w:bCs/>
          <w:sz w:val="24"/>
          <w:szCs w:val="24"/>
        </w:rPr>
        <w:t>Comment</w:t>
      </w:r>
      <w:r w:rsidR="004C4919" w:rsidRPr="004C4919">
        <w:rPr>
          <w:rFonts w:ascii="Arial" w:hAnsi="Arial" w:cs="Arial"/>
          <w:bCs/>
          <w:sz w:val="24"/>
          <w:szCs w:val="24"/>
        </w:rPr>
        <w:t xml:space="preserve">s from </w:t>
      </w:r>
    </w:p>
    <w:p w14:paraId="0434A9D5" w14:textId="77777777" w:rsidR="004C4919" w:rsidRPr="004C4919" w:rsidRDefault="004C4919" w:rsidP="004C4919">
      <w:pPr>
        <w:spacing w:after="0" w:line="360" w:lineRule="auto"/>
        <w:jc w:val="both"/>
        <w:rPr>
          <w:rFonts w:ascii="Arial" w:hAnsi="Arial" w:cs="Arial"/>
          <w:bCs/>
          <w:sz w:val="24"/>
          <w:szCs w:val="24"/>
        </w:rPr>
      </w:pPr>
      <w:r w:rsidRPr="004C4919">
        <w:rPr>
          <w:rFonts w:ascii="Arial" w:hAnsi="Arial" w:cs="Arial"/>
          <w:bCs/>
          <w:sz w:val="24"/>
          <w:szCs w:val="24"/>
        </w:rPr>
        <w:t>EUCOPE - the European Confederation of Pharmaceutical Entrepreneurs</w:t>
      </w:r>
    </w:p>
    <w:p w14:paraId="736411F0" w14:textId="77777777" w:rsidR="004C4919" w:rsidRPr="004C4919" w:rsidRDefault="00D338F5" w:rsidP="004C4919">
      <w:pPr>
        <w:spacing w:after="0" w:line="360" w:lineRule="auto"/>
        <w:jc w:val="both"/>
        <w:rPr>
          <w:rFonts w:ascii="Arial" w:hAnsi="Arial" w:cs="Arial"/>
          <w:bCs/>
          <w:sz w:val="24"/>
          <w:szCs w:val="24"/>
        </w:rPr>
      </w:pPr>
      <w:r>
        <w:rPr>
          <w:rFonts w:ascii="Arial" w:hAnsi="Arial" w:cs="Arial"/>
          <w:bCs/>
          <w:sz w:val="24"/>
          <w:szCs w:val="24"/>
        </w:rPr>
        <w:t>Rue Marie de Bourgogne 58</w:t>
      </w:r>
    </w:p>
    <w:p w14:paraId="611121EA" w14:textId="77777777" w:rsidR="004C4919" w:rsidRPr="004C4919" w:rsidRDefault="004C4919" w:rsidP="004C4919">
      <w:pPr>
        <w:spacing w:after="0" w:line="360" w:lineRule="auto"/>
        <w:jc w:val="both"/>
        <w:rPr>
          <w:rFonts w:ascii="Arial" w:hAnsi="Arial" w:cs="Arial"/>
          <w:bCs/>
          <w:sz w:val="24"/>
          <w:szCs w:val="24"/>
        </w:rPr>
      </w:pPr>
      <w:r w:rsidRPr="004C4919">
        <w:rPr>
          <w:rFonts w:ascii="Arial" w:hAnsi="Arial" w:cs="Arial"/>
          <w:bCs/>
          <w:sz w:val="24"/>
          <w:szCs w:val="24"/>
        </w:rPr>
        <w:t xml:space="preserve">1000 Brussels </w:t>
      </w:r>
    </w:p>
    <w:p w14:paraId="694F066A" w14:textId="77777777" w:rsidR="004C4919" w:rsidRDefault="004C4919" w:rsidP="004C4919">
      <w:pPr>
        <w:spacing w:after="0" w:line="360" w:lineRule="auto"/>
        <w:jc w:val="both"/>
        <w:rPr>
          <w:rFonts w:ascii="Arial" w:hAnsi="Arial" w:cs="Arial"/>
          <w:bCs/>
          <w:sz w:val="24"/>
          <w:szCs w:val="24"/>
        </w:rPr>
      </w:pPr>
      <w:r w:rsidRPr="004C4919">
        <w:rPr>
          <w:rFonts w:ascii="Arial" w:hAnsi="Arial" w:cs="Arial"/>
          <w:bCs/>
          <w:sz w:val="24"/>
          <w:szCs w:val="24"/>
        </w:rPr>
        <w:t xml:space="preserve">Belgium </w:t>
      </w:r>
    </w:p>
    <w:p w14:paraId="17B60CBE" w14:textId="77777777" w:rsidR="000340ED" w:rsidRDefault="000340ED" w:rsidP="004C4919">
      <w:pPr>
        <w:spacing w:after="0" w:line="360" w:lineRule="auto"/>
        <w:jc w:val="both"/>
        <w:rPr>
          <w:rFonts w:ascii="Arial" w:hAnsi="Arial" w:cs="Arial"/>
          <w:bCs/>
          <w:sz w:val="24"/>
          <w:szCs w:val="24"/>
        </w:rPr>
      </w:pPr>
      <w:r>
        <w:rPr>
          <w:rFonts w:ascii="Arial" w:hAnsi="Arial" w:cs="Arial"/>
          <w:bCs/>
          <w:sz w:val="24"/>
          <w:szCs w:val="24"/>
        </w:rPr>
        <w:t>R</w:t>
      </w:r>
      <w:r w:rsidRPr="000340ED">
        <w:rPr>
          <w:rFonts w:ascii="Arial" w:hAnsi="Arial" w:cs="Arial"/>
          <w:bCs/>
          <w:sz w:val="24"/>
          <w:szCs w:val="24"/>
        </w:rPr>
        <w:t>egistration number of the Transparency Register</w:t>
      </w:r>
      <w:r>
        <w:rPr>
          <w:rFonts w:ascii="Arial" w:hAnsi="Arial" w:cs="Arial"/>
          <w:bCs/>
          <w:sz w:val="24"/>
          <w:szCs w:val="24"/>
        </w:rPr>
        <w:t xml:space="preserve">: </w:t>
      </w:r>
      <w:r w:rsidRPr="000340ED">
        <w:rPr>
          <w:rFonts w:ascii="Arial" w:hAnsi="Arial" w:cs="Arial"/>
          <w:bCs/>
          <w:sz w:val="24"/>
          <w:szCs w:val="24"/>
        </w:rPr>
        <w:t>87600691525-93</w:t>
      </w:r>
    </w:p>
    <w:p w14:paraId="3E138EA5" w14:textId="77777777" w:rsidR="000340ED" w:rsidRDefault="000340ED" w:rsidP="004C4919">
      <w:pPr>
        <w:spacing w:after="0" w:line="360" w:lineRule="auto"/>
        <w:jc w:val="both"/>
        <w:rPr>
          <w:rFonts w:ascii="Arial" w:hAnsi="Arial" w:cs="Arial"/>
          <w:bCs/>
          <w:sz w:val="24"/>
          <w:szCs w:val="24"/>
        </w:rPr>
      </w:pPr>
    </w:p>
    <w:p w14:paraId="0F541D92" w14:textId="77777777" w:rsidR="000340ED" w:rsidRPr="004C4919" w:rsidRDefault="000340ED" w:rsidP="004C4919">
      <w:pPr>
        <w:spacing w:after="0" w:line="360" w:lineRule="auto"/>
        <w:jc w:val="both"/>
        <w:rPr>
          <w:rFonts w:ascii="Arial" w:hAnsi="Arial" w:cs="Arial"/>
          <w:bCs/>
          <w:sz w:val="24"/>
          <w:szCs w:val="24"/>
        </w:rPr>
      </w:pPr>
    </w:p>
    <w:p w14:paraId="28FF2469" w14:textId="77777777" w:rsidR="004C4919" w:rsidRDefault="004C4919" w:rsidP="004C4919">
      <w:pPr>
        <w:spacing w:after="0" w:line="360" w:lineRule="auto"/>
        <w:jc w:val="both"/>
        <w:rPr>
          <w:rFonts w:ascii="Arial" w:hAnsi="Arial" w:cs="Arial"/>
          <w:b/>
          <w:sz w:val="20"/>
          <w:szCs w:val="20"/>
        </w:rPr>
      </w:pPr>
    </w:p>
    <w:p w14:paraId="5F2496BA" w14:textId="1DB295F3" w:rsidR="00D3046E" w:rsidRPr="004C4919" w:rsidRDefault="00F711EF" w:rsidP="004C4919">
      <w:pPr>
        <w:spacing w:line="240" w:lineRule="auto"/>
        <w:jc w:val="both"/>
        <w:rPr>
          <w:rFonts w:ascii="Arial" w:hAnsi="Arial" w:cs="Arial"/>
          <w:bCs/>
          <w:sz w:val="28"/>
          <w:szCs w:val="28"/>
        </w:rPr>
      </w:pPr>
      <w:r w:rsidRPr="00012748">
        <w:rPr>
          <w:rFonts w:ascii="Arial" w:hAnsi="Arial" w:cs="Arial"/>
          <w:b/>
          <w:sz w:val="20"/>
          <w:szCs w:val="20"/>
        </w:rPr>
        <w:t>EUCOPE</w:t>
      </w:r>
      <w:r w:rsidR="005D7B1F" w:rsidRPr="00012748">
        <w:rPr>
          <w:rFonts w:ascii="Arial" w:hAnsi="Arial" w:cs="Arial"/>
          <w:b/>
          <w:sz w:val="20"/>
          <w:szCs w:val="20"/>
        </w:rPr>
        <w:t xml:space="preserve"> </w:t>
      </w:r>
      <w:r w:rsidR="003F2651" w:rsidRPr="00012748">
        <w:rPr>
          <w:rFonts w:ascii="Arial" w:hAnsi="Arial" w:cs="Arial"/>
          <w:b/>
          <w:sz w:val="20"/>
          <w:szCs w:val="20"/>
        </w:rPr>
        <w:t xml:space="preserve">RESPONSE TO THE </w:t>
      </w:r>
      <w:r w:rsidR="004A0460" w:rsidRPr="00012748">
        <w:rPr>
          <w:rFonts w:ascii="Arial" w:hAnsi="Arial" w:cs="Arial"/>
          <w:b/>
          <w:sz w:val="20"/>
          <w:szCs w:val="20"/>
        </w:rPr>
        <w:t>C</w:t>
      </w:r>
      <w:r w:rsidR="00D338F5">
        <w:rPr>
          <w:rFonts w:ascii="Arial" w:hAnsi="Arial" w:cs="Arial"/>
          <w:b/>
          <w:sz w:val="20"/>
          <w:szCs w:val="20"/>
        </w:rPr>
        <w:t xml:space="preserve">ONSULTATION DOCUMENT </w:t>
      </w:r>
      <w:r w:rsidR="00B7529B" w:rsidRPr="00B7529B">
        <w:rPr>
          <w:rFonts w:ascii="Arial" w:hAnsi="Arial" w:cs="Arial"/>
          <w:b/>
          <w:sz w:val="20"/>
          <w:szCs w:val="20"/>
        </w:rPr>
        <w:t>'GOOD MANUFACTURING PRACTICE FOR ADVANCED THERAPY MEDICINAL PRODUCTS'</w:t>
      </w:r>
    </w:p>
    <w:p w14:paraId="19B73B75" w14:textId="77777777" w:rsidR="004B6858" w:rsidRPr="00012748" w:rsidRDefault="004B6858" w:rsidP="00847BF0">
      <w:pPr>
        <w:spacing w:after="0" w:line="240" w:lineRule="auto"/>
        <w:jc w:val="both"/>
        <w:rPr>
          <w:rFonts w:ascii="Arial" w:hAnsi="Arial" w:cs="Arial"/>
          <w:b/>
          <w:sz w:val="20"/>
          <w:szCs w:val="20"/>
        </w:rPr>
      </w:pPr>
    </w:p>
    <w:p w14:paraId="2570C1D6" w14:textId="77777777" w:rsidR="003F2651" w:rsidRPr="00012748" w:rsidRDefault="00EE71BF" w:rsidP="00E51302">
      <w:pPr>
        <w:spacing w:after="0" w:line="240" w:lineRule="auto"/>
        <w:jc w:val="both"/>
        <w:outlineLvl w:val="0"/>
        <w:rPr>
          <w:rFonts w:ascii="Arial" w:hAnsi="Arial" w:cs="Arial"/>
          <w:b/>
          <w:sz w:val="20"/>
          <w:szCs w:val="20"/>
        </w:rPr>
      </w:pPr>
      <w:r w:rsidRPr="00012748">
        <w:rPr>
          <w:rFonts w:ascii="Arial" w:hAnsi="Arial" w:cs="Arial"/>
          <w:b/>
          <w:sz w:val="20"/>
          <w:szCs w:val="20"/>
        </w:rPr>
        <w:t>Introduction</w:t>
      </w:r>
    </w:p>
    <w:p w14:paraId="71C8E969" w14:textId="77777777" w:rsidR="004B6858" w:rsidRDefault="004B6858" w:rsidP="00847BF0">
      <w:pPr>
        <w:spacing w:after="0" w:line="240" w:lineRule="auto"/>
        <w:jc w:val="both"/>
        <w:rPr>
          <w:rFonts w:ascii="Arial" w:hAnsi="Arial" w:cs="Arial"/>
          <w:sz w:val="20"/>
          <w:szCs w:val="20"/>
        </w:rPr>
      </w:pPr>
    </w:p>
    <w:p w14:paraId="35C1387F" w14:textId="7A4F01F4" w:rsidR="003B2463" w:rsidRPr="00012748" w:rsidRDefault="00B7529B" w:rsidP="00847BF0">
      <w:pPr>
        <w:spacing w:after="0" w:line="240" w:lineRule="auto"/>
        <w:jc w:val="both"/>
        <w:rPr>
          <w:rFonts w:ascii="Arial" w:hAnsi="Arial" w:cs="Arial"/>
          <w:sz w:val="20"/>
          <w:szCs w:val="20"/>
        </w:rPr>
      </w:pPr>
      <w:r w:rsidRPr="00B7529B">
        <w:rPr>
          <w:rFonts w:ascii="Arial" w:hAnsi="Arial" w:cs="Arial"/>
          <w:sz w:val="20"/>
          <w:szCs w:val="20"/>
        </w:rPr>
        <w:t>This response to the European Commission, Unit B5 – "Medicinal products – policy, authorisation and monitoring" consultation on the ‘Good Manufacturing Practice for Advanced Therapy Medicinal Products’ document is submitted by the European Confederation of Pharmaceutical Entrepreneurs (EUCOPE) on behalf</w:t>
      </w:r>
      <w:r w:rsidR="00E51302">
        <w:rPr>
          <w:rFonts w:ascii="Arial" w:hAnsi="Arial" w:cs="Arial"/>
          <w:sz w:val="20"/>
          <w:szCs w:val="20"/>
        </w:rPr>
        <w:t xml:space="preserve"> of</w:t>
      </w:r>
      <w:r w:rsidRPr="00B7529B">
        <w:rPr>
          <w:rFonts w:ascii="Arial" w:hAnsi="Arial" w:cs="Arial"/>
          <w:sz w:val="20"/>
          <w:szCs w:val="20"/>
        </w:rPr>
        <w:t xml:space="preserve"> its member company Miltenyi Biotec GmbH.</w:t>
      </w:r>
    </w:p>
    <w:p w14:paraId="740147DC" w14:textId="77777777" w:rsidR="00D338F5" w:rsidRDefault="00D338F5" w:rsidP="00847BF0">
      <w:pPr>
        <w:spacing w:after="0" w:line="240" w:lineRule="auto"/>
        <w:jc w:val="both"/>
        <w:rPr>
          <w:rFonts w:ascii="Arial" w:hAnsi="Arial" w:cs="Arial"/>
          <w:sz w:val="20"/>
          <w:szCs w:val="20"/>
        </w:rPr>
      </w:pPr>
    </w:p>
    <w:p w14:paraId="702EC5BE" w14:textId="77777777" w:rsidR="00D338F5" w:rsidRDefault="00D338F5" w:rsidP="00847BF0">
      <w:pPr>
        <w:spacing w:after="0" w:line="240" w:lineRule="auto"/>
        <w:jc w:val="both"/>
        <w:rPr>
          <w:rFonts w:ascii="Arial" w:hAnsi="Arial" w:cs="Arial"/>
          <w:sz w:val="20"/>
          <w:szCs w:val="20"/>
        </w:rPr>
      </w:pPr>
    </w:p>
    <w:p w14:paraId="4D650FEB" w14:textId="77777777" w:rsidR="00D338F5" w:rsidRDefault="00D338F5" w:rsidP="00847BF0">
      <w:pPr>
        <w:spacing w:after="0" w:line="240" w:lineRule="auto"/>
        <w:jc w:val="both"/>
        <w:rPr>
          <w:rFonts w:ascii="Arial" w:hAnsi="Arial" w:cs="Arial"/>
          <w:sz w:val="20"/>
          <w:szCs w:val="20"/>
        </w:rPr>
      </w:pPr>
    </w:p>
    <w:p w14:paraId="39209AFD" w14:textId="77777777" w:rsidR="00D338F5" w:rsidRPr="00012748" w:rsidRDefault="00D338F5" w:rsidP="00847BF0">
      <w:pPr>
        <w:spacing w:after="0" w:line="240" w:lineRule="auto"/>
        <w:jc w:val="both"/>
        <w:rPr>
          <w:rFonts w:ascii="Arial" w:hAnsi="Arial" w:cs="Arial"/>
        </w:rPr>
      </w:pPr>
    </w:p>
    <w:tbl>
      <w:tblPr>
        <w:tblStyle w:val="TableGrid"/>
        <w:tblW w:w="13716" w:type="dxa"/>
        <w:tblLook w:val="04A0" w:firstRow="1" w:lastRow="0" w:firstColumn="1" w:lastColumn="0" w:noHBand="0" w:noVBand="1"/>
      </w:tblPr>
      <w:tblGrid>
        <w:gridCol w:w="4531"/>
        <w:gridCol w:w="9185"/>
      </w:tblGrid>
      <w:tr w:rsidR="003F5D84" w:rsidRPr="00012748" w14:paraId="69D1B8F5" w14:textId="77777777" w:rsidTr="004377B1">
        <w:tc>
          <w:tcPr>
            <w:tcW w:w="4531" w:type="dxa"/>
          </w:tcPr>
          <w:p w14:paraId="25997242" w14:textId="418476B7" w:rsidR="00B7529B" w:rsidRPr="004377B1" w:rsidRDefault="00B7529B" w:rsidP="00E51302">
            <w:pPr>
              <w:rPr>
                <w:rFonts w:ascii="Arial" w:hAnsi="Arial" w:cs="Arial"/>
                <w:b/>
                <w:sz w:val="20"/>
                <w:szCs w:val="20"/>
              </w:rPr>
            </w:pPr>
            <w:r w:rsidRPr="004377B1">
              <w:rPr>
                <w:rFonts w:ascii="Arial" w:hAnsi="Arial" w:cs="Arial"/>
                <w:b/>
                <w:sz w:val="20"/>
                <w:szCs w:val="20"/>
              </w:rPr>
              <w:t>Line number of the relevant text in the consultation document</w:t>
            </w:r>
          </w:p>
          <w:p w14:paraId="57DFF808" w14:textId="77777777" w:rsidR="00F277A9" w:rsidRPr="004377B1" w:rsidRDefault="00F277A9" w:rsidP="00847BF0">
            <w:pPr>
              <w:jc w:val="both"/>
              <w:rPr>
                <w:rFonts w:ascii="Arial" w:hAnsi="Arial" w:cs="Arial"/>
                <w:b/>
                <w:sz w:val="20"/>
                <w:szCs w:val="20"/>
              </w:rPr>
            </w:pPr>
          </w:p>
        </w:tc>
        <w:tc>
          <w:tcPr>
            <w:tcW w:w="9185" w:type="dxa"/>
          </w:tcPr>
          <w:p w14:paraId="463B3E4C" w14:textId="77777777" w:rsidR="00EE71BF" w:rsidRPr="004377B1" w:rsidRDefault="007B0C87" w:rsidP="00847BF0">
            <w:pPr>
              <w:jc w:val="both"/>
              <w:rPr>
                <w:rFonts w:ascii="Arial" w:hAnsi="Arial" w:cs="Arial"/>
                <w:b/>
                <w:sz w:val="20"/>
                <w:szCs w:val="20"/>
              </w:rPr>
            </w:pPr>
            <w:r w:rsidRPr="004377B1">
              <w:rPr>
                <w:rFonts w:ascii="Arial" w:hAnsi="Arial" w:cs="Arial"/>
                <w:b/>
                <w:sz w:val="20"/>
                <w:szCs w:val="20"/>
              </w:rPr>
              <w:t>EUCOPE</w:t>
            </w:r>
            <w:r w:rsidR="006C792D" w:rsidRPr="004377B1">
              <w:rPr>
                <w:rFonts w:ascii="Arial" w:hAnsi="Arial" w:cs="Arial"/>
                <w:b/>
                <w:sz w:val="20"/>
                <w:szCs w:val="20"/>
              </w:rPr>
              <w:t xml:space="preserve"> c</w:t>
            </w:r>
            <w:r w:rsidR="00EE71BF" w:rsidRPr="004377B1">
              <w:rPr>
                <w:rFonts w:ascii="Arial" w:hAnsi="Arial" w:cs="Arial"/>
                <w:b/>
                <w:sz w:val="20"/>
                <w:szCs w:val="20"/>
              </w:rPr>
              <w:t>omment</w:t>
            </w:r>
            <w:r w:rsidR="006C792D" w:rsidRPr="004377B1">
              <w:rPr>
                <w:rFonts w:ascii="Arial" w:hAnsi="Arial" w:cs="Arial"/>
                <w:b/>
                <w:sz w:val="20"/>
                <w:szCs w:val="20"/>
              </w:rPr>
              <w:t>s and p</w:t>
            </w:r>
            <w:r w:rsidR="00EE71BF" w:rsidRPr="004377B1">
              <w:rPr>
                <w:rFonts w:ascii="Arial" w:hAnsi="Arial" w:cs="Arial"/>
                <w:b/>
                <w:sz w:val="20"/>
                <w:szCs w:val="20"/>
              </w:rPr>
              <w:t>roposed amendment</w:t>
            </w:r>
            <w:r w:rsidR="00A37C50" w:rsidRPr="004377B1">
              <w:rPr>
                <w:rFonts w:ascii="Arial" w:hAnsi="Arial" w:cs="Arial"/>
                <w:b/>
                <w:sz w:val="20"/>
                <w:szCs w:val="20"/>
              </w:rPr>
              <w:t>s</w:t>
            </w:r>
          </w:p>
        </w:tc>
      </w:tr>
      <w:tr w:rsidR="003F5D84" w:rsidRPr="00012748" w14:paraId="08595C42" w14:textId="77777777" w:rsidTr="004377B1">
        <w:trPr>
          <w:trHeight w:val="1206"/>
        </w:trPr>
        <w:tc>
          <w:tcPr>
            <w:tcW w:w="4531" w:type="dxa"/>
          </w:tcPr>
          <w:p w14:paraId="2DB1768E" w14:textId="62CCF935" w:rsidR="00EE71BF" w:rsidRPr="004377B1" w:rsidRDefault="00B7529B" w:rsidP="00847BF0">
            <w:pPr>
              <w:jc w:val="both"/>
              <w:rPr>
                <w:rFonts w:ascii="Arial" w:hAnsi="Arial" w:cs="Arial"/>
                <w:bCs/>
                <w:sz w:val="20"/>
                <w:szCs w:val="20"/>
              </w:rPr>
            </w:pPr>
            <w:r w:rsidRPr="004377B1">
              <w:rPr>
                <w:rFonts w:ascii="Arial" w:hAnsi="Arial" w:cs="Arial"/>
                <w:bCs/>
                <w:sz w:val="20"/>
                <w:szCs w:val="20"/>
              </w:rPr>
              <w:t>General:</w:t>
            </w:r>
          </w:p>
          <w:p w14:paraId="5ED86603" w14:textId="2ECE572F" w:rsidR="00B7529B" w:rsidRPr="004377B1" w:rsidRDefault="00B7529B" w:rsidP="00847BF0">
            <w:pPr>
              <w:jc w:val="both"/>
              <w:rPr>
                <w:rFonts w:ascii="Arial" w:hAnsi="Arial" w:cs="Arial"/>
                <w:b/>
                <w:bCs/>
                <w:sz w:val="20"/>
                <w:szCs w:val="20"/>
              </w:rPr>
            </w:pPr>
          </w:p>
          <w:p w14:paraId="5353C3A4" w14:textId="6112B64E" w:rsidR="005442A7" w:rsidRPr="004377B1" w:rsidRDefault="005442A7" w:rsidP="00B7529B">
            <w:pPr>
              <w:autoSpaceDE w:val="0"/>
              <w:autoSpaceDN w:val="0"/>
              <w:adjustRightInd w:val="0"/>
              <w:jc w:val="both"/>
              <w:rPr>
                <w:rFonts w:ascii="Arial" w:hAnsi="Arial" w:cs="Arial"/>
                <w:sz w:val="20"/>
                <w:szCs w:val="20"/>
              </w:rPr>
            </w:pPr>
          </w:p>
        </w:tc>
        <w:tc>
          <w:tcPr>
            <w:tcW w:w="9185" w:type="dxa"/>
          </w:tcPr>
          <w:p w14:paraId="4F8558B9" w14:textId="3F83A19F" w:rsidR="00D338F5" w:rsidRPr="00E51302" w:rsidRDefault="00E51302" w:rsidP="003D0C62">
            <w:pPr>
              <w:autoSpaceDE w:val="0"/>
              <w:autoSpaceDN w:val="0"/>
              <w:adjustRightInd w:val="0"/>
              <w:jc w:val="both"/>
              <w:rPr>
                <w:rFonts w:ascii="Arial" w:hAnsi="Arial" w:cs="Arial"/>
                <w:sz w:val="20"/>
                <w:szCs w:val="20"/>
                <w:u w:val="single"/>
              </w:rPr>
            </w:pPr>
            <w:r w:rsidRPr="00E51302">
              <w:rPr>
                <w:rFonts w:ascii="Arial" w:hAnsi="Arial" w:cs="Arial"/>
                <w:sz w:val="20"/>
                <w:szCs w:val="20"/>
                <w:u w:val="single"/>
              </w:rPr>
              <w:t>Comment</w:t>
            </w:r>
            <w:r>
              <w:rPr>
                <w:rFonts w:ascii="Arial" w:hAnsi="Arial" w:cs="Arial"/>
                <w:sz w:val="20"/>
                <w:szCs w:val="20"/>
                <w:u w:val="single"/>
              </w:rPr>
              <w:t>:</w:t>
            </w:r>
          </w:p>
          <w:p w14:paraId="49A98B7F" w14:textId="3E907623" w:rsidR="00BA52DD" w:rsidRPr="004377B1" w:rsidRDefault="00B7529B" w:rsidP="00B7529B">
            <w:pPr>
              <w:autoSpaceDE w:val="0"/>
              <w:autoSpaceDN w:val="0"/>
              <w:adjustRightInd w:val="0"/>
              <w:jc w:val="both"/>
              <w:rPr>
                <w:rFonts w:ascii="Arial" w:hAnsi="Arial" w:cs="Arial"/>
                <w:sz w:val="20"/>
                <w:szCs w:val="20"/>
              </w:rPr>
            </w:pPr>
            <w:r w:rsidRPr="004377B1">
              <w:rPr>
                <w:rFonts w:ascii="Arial" w:hAnsi="Arial" w:cs="Arial"/>
                <w:sz w:val="20"/>
                <w:szCs w:val="20"/>
              </w:rPr>
              <w:t>EUCOPE on behalf of its member company Miltenyi Biotec highly welcomes the proposals made in the consultation guidelines paving the way for feasible ATMP development in Europe and leading to increased availability of these product without making compromise to quality and safety of the products.</w:t>
            </w:r>
          </w:p>
        </w:tc>
      </w:tr>
      <w:tr w:rsidR="00B7529B" w:rsidRPr="00012748" w14:paraId="104C5FF9" w14:textId="77777777" w:rsidTr="004377B1">
        <w:trPr>
          <w:trHeight w:val="1714"/>
        </w:trPr>
        <w:tc>
          <w:tcPr>
            <w:tcW w:w="4531" w:type="dxa"/>
          </w:tcPr>
          <w:p w14:paraId="7948E33A" w14:textId="09B17592" w:rsidR="00B7529B" w:rsidRPr="004377B1" w:rsidRDefault="00B7529B" w:rsidP="00847BF0">
            <w:pPr>
              <w:jc w:val="both"/>
              <w:rPr>
                <w:rFonts w:ascii="Arial" w:hAnsi="Arial" w:cs="Arial"/>
                <w:b/>
                <w:bCs/>
                <w:sz w:val="20"/>
                <w:szCs w:val="20"/>
              </w:rPr>
            </w:pPr>
            <w:r w:rsidRPr="004377B1">
              <w:rPr>
                <w:rFonts w:ascii="Arial" w:hAnsi="Arial" w:cs="Arial"/>
                <w:sz w:val="20"/>
                <w:szCs w:val="20"/>
              </w:rPr>
              <w:t>128-130</w:t>
            </w:r>
          </w:p>
        </w:tc>
        <w:tc>
          <w:tcPr>
            <w:tcW w:w="9185" w:type="dxa"/>
          </w:tcPr>
          <w:p w14:paraId="47E0112F" w14:textId="31B8FF01"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787028B2" w14:textId="77777777" w:rsidR="004377B1" w:rsidRDefault="00B7529B" w:rsidP="00BA52DD">
            <w:pPr>
              <w:jc w:val="both"/>
              <w:rPr>
                <w:rFonts w:ascii="Arial" w:hAnsi="Arial" w:cs="Arial"/>
                <w:sz w:val="20"/>
                <w:szCs w:val="20"/>
              </w:rPr>
            </w:pPr>
            <w:r w:rsidRPr="004377B1">
              <w:rPr>
                <w:rFonts w:ascii="Arial" w:hAnsi="Arial" w:cs="Arial"/>
                <w:sz w:val="20"/>
                <w:szCs w:val="20"/>
              </w:rPr>
              <w:t xml:space="preserve">It should be clarified that current other guidelines (e.g. EU-GMP) will no longer apply to ATMPs or at least have to be considered together with GMP for ATMP Document. </w:t>
            </w:r>
          </w:p>
          <w:p w14:paraId="0EF6BA29" w14:textId="77777777" w:rsidR="004377B1" w:rsidRDefault="004377B1" w:rsidP="00BA52DD">
            <w:pPr>
              <w:jc w:val="both"/>
              <w:rPr>
                <w:rFonts w:ascii="Arial" w:hAnsi="Arial" w:cs="Arial"/>
                <w:sz w:val="20"/>
                <w:szCs w:val="20"/>
              </w:rPr>
            </w:pPr>
          </w:p>
          <w:p w14:paraId="4EDD7DBB" w14:textId="77777777" w:rsidR="004377B1" w:rsidRDefault="004377B1" w:rsidP="00BA52DD">
            <w:pPr>
              <w:jc w:val="both"/>
              <w:rPr>
                <w:rFonts w:ascii="Arial" w:hAnsi="Arial" w:cs="Arial"/>
                <w:sz w:val="20"/>
                <w:szCs w:val="20"/>
              </w:rPr>
            </w:pPr>
            <w:r w:rsidRPr="004377B1">
              <w:rPr>
                <w:rFonts w:ascii="Arial" w:hAnsi="Arial" w:cs="Arial"/>
                <w:sz w:val="20"/>
                <w:szCs w:val="20"/>
                <w:u w:val="single"/>
              </w:rPr>
              <w:t>Amendment proposal</w:t>
            </w:r>
            <w:r w:rsidRPr="004377B1">
              <w:rPr>
                <w:rFonts w:ascii="Arial" w:hAnsi="Arial" w:cs="Arial"/>
                <w:sz w:val="20"/>
                <w:szCs w:val="20"/>
              </w:rPr>
              <w:t>:</w:t>
            </w:r>
          </w:p>
          <w:p w14:paraId="7C42232D" w14:textId="222D44A7" w:rsidR="00B7529B" w:rsidRPr="004377B1" w:rsidRDefault="00B7529B" w:rsidP="00BA52DD">
            <w:pPr>
              <w:jc w:val="both"/>
              <w:rPr>
                <w:rFonts w:ascii="Arial" w:hAnsi="Arial" w:cs="Arial"/>
                <w:sz w:val="20"/>
                <w:szCs w:val="20"/>
                <w:u w:val="single"/>
              </w:rPr>
            </w:pPr>
            <w:r w:rsidRPr="004377B1">
              <w:rPr>
                <w:rFonts w:ascii="Arial" w:hAnsi="Arial" w:cs="Arial"/>
                <w:sz w:val="20"/>
                <w:szCs w:val="20"/>
              </w:rPr>
              <w:t>We strongly recommend cross-referencing to this consultation document where applicable.</w:t>
            </w:r>
          </w:p>
        </w:tc>
      </w:tr>
      <w:tr w:rsidR="00B7529B" w:rsidRPr="00012748" w14:paraId="1B24DEDA" w14:textId="77777777" w:rsidTr="004377B1">
        <w:trPr>
          <w:trHeight w:val="1052"/>
        </w:trPr>
        <w:tc>
          <w:tcPr>
            <w:tcW w:w="4531" w:type="dxa"/>
          </w:tcPr>
          <w:p w14:paraId="12D7C11C" w14:textId="77777777" w:rsidR="004377B1" w:rsidRDefault="00B7529B" w:rsidP="004377B1">
            <w:pPr>
              <w:pStyle w:val="TabletextrowsAgency"/>
              <w:rPr>
                <w:rFonts w:ascii="Arial" w:hAnsi="Arial" w:cs="Arial"/>
                <w:i/>
                <w:sz w:val="20"/>
                <w:szCs w:val="20"/>
              </w:rPr>
            </w:pPr>
            <w:r w:rsidRPr="004377B1">
              <w:rPr>
                <w:rFonts w:ascii="Arial" w:hAnsi="Arial" w:cs="Arial"/>
                <w:sz w:val="20"/>
                <w:szCs w:val="20"/>
              </w:rPr>
              <w:t>151 f.</w:t>
            </w:r>
            <w:r w:rsidR="004377B1" w:rsidRPr="004377B1">
              <w:rPr>
                <w:rFonts w:ascii="Arial" w:hAnsi="Arial" w:cs="Arial"/>
                <w:i/>
                <w:sz w:val="20"/>
                <w:szCs w:val="20"/>
              </w:rPr>
              <w:t xml:space="preserve"> </w:t>
            </w:r>
          </w:p>
          <w:p w14:paraId="40D1FCA9" w14:textId="7A180A23" w:rsidR="004377B1" w:rsidRPr="004377B1" w:rsidRDefault="004377B1" w:rsidP="004377B1">
            <w:pPr>
              <w:pStyle w:val="TabletextrowsAgency"/>
              <w:rPr>
                <w:rFonts w:ascii="Arial" w:hAnsi="Arial" w:cs="Arial"/>
                <w:i/>
                <w:sz w:val="20"/>
                <w:szCs w:val="20"/>
              </w:rPr>
            </w:pPr>
            <w:r w:rsidRPr="004377B1">
              <w:rPr>
                <w:rFonts w:ascii="Arial" w:hAnsi="Arial" w:cs="Arial"/>
                <w:i/>
                <w:sz w:val="20"/>
                <w:szCs w:val="20"/>
              </w:rPr>
              <w:t>“…and allogenic products in a donor matched scenario:”</w:t>
            </w:r>
          </w:p>
          <w:p w14:paraId="5D0A9937" w14:textId="77F812D0" w:rsidR="00B7529B" w:rsidRPr="004377B1" w:rsidRDefault="00B7529B" w:rsidP="00847BF0">
            <w:pPr>
              <w:jc w:val="both"/>
              <w:rPr>
                <w:rFonts w:ascii="Arial" w:hAnsi="Arial" w:cs="Arial"/>
                <w:b/>
                <w:bCs/>
                <w:sz w:val="20"/>
                <w:szCs w:val="20"/>
              </w:rPr>
            </w:pPr>
          </w:p>
        </w:tc>
        <w:tc>
          <w:tcPr>
            <w:tcW w:w="9185" w:type="dxa"/>
          </w:tcPr>
          <w:p w14:paraId="26922B51" w14:textId="399EF29A"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7AA4B0F0" w14:textId="50949213" w:rsidR="00B7529B" w:rsidRPr="004377B1" w:rsidRDefault="00B7529B" w:rsidP="00BA52DD">
            <w:pPr>
              <w:jc w:val="both"/>
              <w:rPr>
                <w:rFonts w:ascii="Arial" w:hAnsi="Arial" w:cs="Arial"/>
                <w:sz w:val="20"/>
                <w:szCs w:val="20"/>
                <w:u w:val="single"/>
              </w:rPr>
            </w:pPr>
            <w:r w:rsidRPr="004377B1">
              <w:rPr>
                <w:rFonts w:ascii="Arial" w:hAnsi="Arial" w:cs="Arial"/>
                <w:sz w:val="20"/>
                <w:szCs w:val="20"/>
              </w:rPr>
              <w:t>Allogenic products are not always donor matched. Hence this should also apply to HLA-mismatched settings, which is a common clinical situation or not applicable in certain settings or for certain products.</w:t>
            </w:r>
          </w:p>
        </w:tc>
      </w:tr>
      <w:tr w:rsidR="00B7529B" w:rsidRPr="00012748" w14:paraId="0B82A89F" w14:textId="77777777" w:rsidTr="004377B1">
        <w:trPr>
          <w:trHeight w:val="913"/>
        </w:trPr>
        <w:tc>
          <w:tcPr>
            <w:tcW w:w="4531" w:type="dxa"/>
          </w:tcPr>
          <w:p w14:paraId="10629355" w14:textId="02F6BF49" w:rsidR="00B7529B" w:rsidRPr="004377B1" w:rsidRDefault="00B7529B" w:rsidP="00847BF0">
            <w:pPr>
              <w:jc w:val="both"/>
              <w:rPr>
                <w:rFonts w:ascii="Arial" w:hAnsi="Arial" w:cs="Arial"/>
                <w:b/>
                <w:bCs/>
                <w:sz w:val="20"/>
                <w:szCs w:val="20"/>
              </w:rPr>
            </w:pPr>
            <w:r w:rsidRPr="004377B1">
              <w:rPr>
                <w:rFonts w:ascii="Arial" w:hAnsi="Arial" w:cs="Arial"/>
                <w:sz w:val="20"/>
                <w:szCs w:val="20"/>
              </w:rPr>
              <w:t>461-471</w:t>
            </w:r>
          </w:p>
        </w:tc>
        <w:tc>
          <w:tcPr>
            <w:tcW w:w="9185" w:type="dxa"/>
          </w:tcPr>
          <w:p w14:paraId="6EB4BFF6" w14:textId="6F88DAF3"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30BADB7A" w14:textId="27353123" w:rsidR="00B7529B" w:rsidRPr="004377B1" w:rsidRDefault="00B7529B" w:rsidP="00BA52DD">
            <w:pPr>
              <w:jc w:val="both"/>
              <w:rPr>
                <w:rFonts w:ascii="Arial" w:hAnsi="Arial" w:cs="Arial"/>
                <w:sz w:val="20"/>
                <w:szCs w:val="20"/>
                <w:u w:val="single"/>
              </w:rPr>
            </w:pPr>
            <w:r w:rsidRPr="004377B1">
              <w:rPr>
                <w:rFonts w:ascii="Arial" w:hAnsi="Arial" w:cs="Arial"/>
                <w:sz w:val="20"/>
                <w:szCs w:val="20"/>
              </w:rPr>
              <w:t>For clarification please add that each closed system is to be regarded as an area (as referred to in line 1268).</w:t>
            </w:r>
          </w:p>
        </w:tc>
      </w:tr>
      <w:tr w:rsidR="00B7529B" w:rsidRPr="00012748" w14:paraId="22F2024A" w14:textId="77777777" w:rsidTr="004377B1">
        <w:trPr>
          <w:trHeight w:val="1179"/>
        </w:trPr>
        <w:tc>
          <w:tcPr>
            <w:tcW w:w="4531" w:type="dxa"/>
          </w:tcPr>
          <w:p w14:paraId="2E8B9250" w14:textId="0749DF0C" w:rsidR="00B7529B" w:rsidRPr="004377B1" w:rsidRDefault="00B7529B" w:rsidP="00847BF0">
            <w:pPr>
              <w:jc w:val="both"/>
              <w:rPr>
                <w:rFonts w:ascii="Arial" w:hAnsi="Arial" w:cs="Arial"/>
                <w:b/>
                <w:bCs/>
                <w:sz w:val="20"/>
                <w:szCs w:val="20"/>
              </w:rPr>
            </w:pPr>
            <w:r w:rsidRPr="004377B1">
              <w:rPr>
                <w:rFonts w:ascii="Arial" w:hAnsi="Arial" w:cs="Arial"/>
                <w:sz w:val="20"/>
                <w:szCs w:val="20"/>
              </w:rPr>
              <w:t>461-462</w:t>
            </w:r>
          </w:p>
        </w:tc>
        <w:tc>
          <w:tcPr>
            <w:tcW w:w="9185" w:type="dxa"/>
          </w:tcPr>
          <w:p w14:paraId="37FE8C6D" w14:textId="114582AD" w:rsidR="004377B1" w:rsidRDefault="00E51302" w:rsidP="00BA52DD">
            <w:pPr>
              <w:jc w:val="both"/>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 xml:space="preserve">: </w:t>
            </w:r>
          </w:p>
          <w:p w14:paraId="3B78C388" w14:textId="3B5E0CDC" w:rsidR="00B7529B" w:rsidRPr="004377B1" w:rsidRDefault="00B7529B" w:rsidP="00BA52DD">
            <w:pPr>
              <w:jc w:val="both"/>
              <w:rPr>
                <w:rFonts w:ascii="Arial" w:hAnsi="Arial" w:cs="Arial"/>
                <w:sz w:val="20"/>
                <w:szCs w:val="20"/>
                <w:u w:val="single"/>
              </w:rPr>
            </w:pPr>
            <w:r w:rsidRPr="004377B1">
              <w:rPr>
                <w:rFonts w:ascii="Arial" w:hAnsi="Arial" w:cs="Arial"/>
                <w:sz w:val="20"/>
                <w:szCs w:val="20"/>
              </w:rPr>
              <w:t>It should be clarified that if ATMPs and non-AMTPs are manufactured in separate closed systems, then they can be manufactured in the same facility (see comment to line 461 above) because closed system should be considered as physical segregation</w:t>
            </w:r>
          </w:p>
        </w:tc>
      </w:tr>
      <w:tr w:rsidR="00B7529B" w:rsidRPr="00012748" w14:paraId="629713A4" w14:textId="77777777" w:rsidTr="004377B1">
        <w:trPr>
          <w:trHeight w:val="1164"/>
        </w:trPr>
        <w:tc>
          <w:tcPr>
            <w:tcW w:w="4531" w:type="dxa"/>
          </w:tcPr>
          <w:p w14:paraId="394E881B" w14:textId="73EB3F9F" w:rsidR="00B7529B" w:rsidRPr="004377B1" w:rsidRDefault="00B7529B" w:rsidP="00847BF0">
            <w:pPr>
              <w:jc w:val="both"/>
              <w:rPr>
                <w:rFonts w:ascii="Arial" w:hAnsi="Arial" w:cs="Arial"/>
                <w:b/>
                <w:bCs/>
                <w:sz w:val="20"/>
                <w:szCs w:val="20"/>
              </w:rPr>
            </w:pPr>
            <w:r w:rsidRPr="004377B1">
              <w:rPr>
                <w:rFonts w:ascii="Arial" w:hAnsi="Arial" w:cs="Arial"/>
                <w:sz w:val="20"/>
                <w:szCs w:val="20"/>
              </w:rPr>
              <w:t>462</w:t>
            </w:r>
          </w:p>
        </w:tc>
        <w:tc>
          <w:tcPr>
            <w:tcW w:w="9185" w:type="dxa"/>
          </w:tcPr>
          <w:p w14:paraId="3997B3E7" w14:textId="1628C8E4"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14C848A1" w14:textId="0BDD6E93" w:rsidR="00B7529B" w:rsidRPr="004377B1" w:rsidRDefault="00B7529B" w:rsidP="00BA52DD">
            <w:pPr>
              <w:jc w:val="both"/>
              <w:rPr>
                <w:rFonts w:ascii="Arial" w:hAnsi="Arial" w:cs="Arial"/>
                <w:sz w:val="20"/>
                <w:szCs w:val="20"/>
                <w:u w:val="single"/>
              </w:rPr>
            </w:pPr>
            <w:r w:rsidRPr="004377B1">
              <w:rPr>
                <w:rFonts w:ascii="Arial" w:hAnsi="Arial" w:cs="Arial"/>
                <w:sz w:val="20"/>
                <w:szCs w:val="20"/>
              </w:rPr>
              <w:t>It should be clarified that if ATMPs and non-AMTPs are manufactured in separate closed systems, then they can be manufactured in the same facility (see comment to line 461 above) because closed system should be considered as physical segregation.</w:t>
            </w:r>
          </w:p>
        </w:tc>
      </w:tr>
      <w:tr w:rsidR="00B7529B" w:rsidRPr="00012748" w14:paraId="077D6BB9" w14:textId="77777777" w:rsidTr="004377B1">
        <w:trPr>
          <w:trHeight w:val="968"/>
        </w:trPr>
        <w:tc>
          <w:tcPr>
            <w:tcW w:w="4531" w:type="dxa"/>
          </w:tcPr>
          <w:p w14:paraId="42DAFA43" w14:textId="22F49CF7" w:rsidR="00B7529B" w:rsidRPr="004377B1" w:rsidRDefault="00B7529B" w:rsidP="00847BF0">
            <w:pPr>
              <w:jc w:val="both"/>
              <w:rPr>
                <w:rFonts w:ascii="Arial" w:hAnsi="Arial" w:cs="Arial"/>
                <w:b/>
                <w:bCs/>
                <w:sz w:val="20"/>
                <w:szCs w:val="20"/>
              </w:rPr>
            </w:pPr>
            <w:r w:rsidRPr="004377B1">
              <w:rPr>
                <w:rFonts w:ascii="Arial" w:hAnsi="Arial" w:cs="Arial"/>
                <w:sz w:val="20"/>
                <w:szCs w:val="20"/>
              </w:rPr>
              <w:t>481-483</w:t>
            </w:r>
          </w:p>
        </w:tc>
        <w:tc>
          <w:tcPr>
            <w:tcW w:w="9185" w:type="dxa"/>
          </w:tcPr>
          <w:p w14:paraId="48E7C615" w14:textId="2B9D5A8B"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65BFBB32" w14:textId="7EA6F4CF" w:rsidR="00B7529B" w:rsidRPr="004377B1" w:rsidRDefault="00B7529B" w:rsidP="00BA52DD">
            <w:pPr>
              <w:jc w:val="both"/>
              <w:rPr>
                <w:rFonts w:ascii="Arial" w:hAnsi="Arial" w:cs="Arial"/>
                <w:sz w:val="20"/>
                <w:szCs w:val="20"/>
                <w:u w:val="single"/>
              </w:rPr>
            </w:pPr>
            <w:r w:rsidRPr="004377B1">
              <w:rPr>
                <w:rFonts w:ascii="Arial" w:hAnsi="Arial" w:cs="Arial"/>
                <w:sz w:val="20"/>
                <w:szCs w:val="20"/>
              </w:rPr>
              <w:t>It should be clarified that „contaminated materials“ means e.g. patient material or waste material (definition of “contaminated materials”).</w:t>
            </w:r>
          </w:p>
        </w:tc>
      </w:tr>
      <w:tr w:rsidR="00B7529B" w:rsidRPr="00012748" w14:paraId="4AFF89EE" w14:textId="77777777" w:rsidTr="004377B1">
        <w:trPr>
          <w:trHeight w:val="800"/>
        </w:trPr>
        <w:tc>
          <w:tcPr>
            <w:tcW w:w="4531" w:type="dxa"/>
          </w:tcPr>
          <w:p w14:paraId="561452D0" w14:textId="1D368048" w:rsidR="00B7529B" w:rsidRPr="004377B1" w:rsidRDefault="00B7529B" w:rsidP="00847BF0">
            <w:pPr>
              <w:jc w:val="both"/>
              <w:rPr>
                <w:rFonts w:ascii="Arial" w:hAnsi="Arial" w:cs="Arial"/>
                <w:b/>
                <w:bCs/>
                <w:sz w:val="20"/>
                <w:szCs w:val="20"/>
              </w:rPr>
            </w:pPr>
            <w:r w:rsidRPr="004377B1">
              <w:rPr>
                <w:rFonts w:ascii="Arial" w:hAnsi="Arial" w:cs="Arial"/>
                <w:sz w:val="20"/>
                <w:szCs w:val="20"/>
              </w:rPr>
              <w:t>506-507</w:t>
            </w:r>
          </w:p>
        </w:tc>
        <w:tc>
          <w:tcPr>
            <w:tcW w:w="9185" w:type="dxa"/>
          </w:tcPr>
          <w:p w14:paraId="485B481A" w14:textId="014DCCC9"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64B9E7D4" w14:textId="70E9E2B6" w:rsidR="00B7529B" w:rsidRPr="004377B1" w:rsidRDefault="00B7529B" w:rsidP="00D66BDE">
            <w:pPr>
              <w:rPr>
                <w:rFonts w:ascii="Arial" w:hAnsi="Arial" w:cs="Arial"/>
                <w:sz w:val="20"/>
                <w:szCs w:val="20"/>
              </w:rPr>
            </w:pPr>
            <w:r w:rsidRPr="004377B1">
              <w:rPr>
                <w:rFonts w:ascii="Arial" w:hAnsi="Arial" w:cs="Arial"/>
                <w:sz w:val="20"/>
                <w:szCs w:val="20"/>
              </w:rPr>
              <w:t>This statement is supported strongly.</w:t>
            </w:r>
          </w:p>
        </w:tc>
      </w:tr>
      <w:tr w:rsidR="00B7529B" w:rsidRPr="00012748" w14:paraId="2B4D0E80" w14:textId="77777777" w:rsidTr="004377B1">
        <w:trPr>
          <w:trHeight w:val="744"/>
        </w:trPr>
        <w:tc>
          <w:tcPr>
            <w:tcW w:w="4531" w:type="dxa"/>
          </w:tcPr>
          <w:p w14:paraId="0B6E8B88" w14:textId="4EE407BF" w:rsidR="00B7529B" w:rsidRPr="004377B1" w:rsidRDefault="00B7529B" w:rsidP="00847BF0">
            <w:pPr>
              <w:jc w:val="both"/>
              <w:rPr>
                <w:rFonts w:ascii="Arial" w:hAnsi="Arial" w:cs="Arial"/>
                <w:b/>
                <w:bCs/>
                <w:sz w:val="20"/>
                <w:szCs w:val="20"/>
              </w:rPr>
            </w:pPr>
            <w:r w:rsidRPr="004377B1">
              <w:rPr>
                <w:rFonts w:ascii="Arial" w:hAnsi="Arial" w:cs="Arial"/>
                <w:sz w:val="20"/>
                <w:szCs w:val="20"/>
              </w:rPr>
              <w:t>516-519</w:t>
            </w:r>
          </w:p>
        </w:tc>
        <w:tc>
          <w:tcPr>
            <w:tcW w:w="9185" w:type="dxa"/>
          </w:tcPr>
          <w:p w14:paraId="4631FC52" w14:textId="00CFF5B1"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2AEB98AE" w14:textId="06A9BBFF" w:rsidR="00B7529B" w:rsidRPr="004377B1" w:rsidRDefault="00B7529B" w:rsidP="00D66BDE">
            <w:pPr>
              <w:rPr>
                <w:rFonts w:ascii="Arial" w:hAnsi="Arial" w:cs="Arial"/>
                <w:sz w:val="20"/>
                <w:szCs w:val="20"/>
              </w:rPr>
            </w:pPr>
            <w:r w:rsidRPr="004377B1">
              <w:rPr>
                <w:rFonts w:ascii="Arial" w:hAnsi="Arial" w:cs="Arial"/>
                <w:sz w:val="20"/>
                <w:szCs w:val="20"/>
              </w:rPr>
              <w:t>contradiction to line 322</w:t>
            </w:r>
          </w:p>
        </w:tc>
      </w:tr>
      <w:tr w:rsidR="00B7529B" w:rsidRPr="00012748" w14:paraId="0FC4E89F" w14:textId="77777777" w:rsidTr="004377B1">
        <w:trPr>
          <w:trHeight w:val="2002"/>
        </w:trPr>
        <w:tc>
          <w:tcPr>
            <w:tcW w:w="4531" w:type="dxa"/>
          </w:tcPr>
          <w:p w14:paraId="5F55E78C" w14:textId="77777777" w:rsidR="004377B1" w:rsidRDefault="00B7529B" w:rsidP="00847BF0">
            <w:pPr>
              <w:jc w:val="both"/>
              <w:rPr>
                <w:rFonts w:ascii="Arial" w:hAnsi="Arial" w:cs="Arial"/>
                <w:i/>
                <w:sz w:val="20"/>
                <w:szCs w:val="20"/>
              </w:rPr>
            </w:pPr>
            <w:r w:rsidRPr="004377B1">
              <w:rPr>
                <w:rFonts w:ascii="Arial" w:hAnsi="Arial" w:cs="Arial"/>
                <w:sz w:val="20"/>
                <w:szCs w:val="20"/>
              </w:rPr>
              <w:t>659 f.</w:t>
            </w:r>
            <w:r w:rsidR="004377B1" w:rsidRPr="004377B1">
              <w:rPr>
                <w:rFonts w:ascii="Arial" w:hAnsi="Arial" w:cs="Arial"/>
                <w:i/>
                <w:sz w:val="20"/>
                <w:szCs w:val="20"/>
              </w:rPr>
              <w:t xml:space="preserve"> </w:t>
            </w:r>
          </w:p>
          <w:p w14:paraId="76962333" w14:textId="7DA0D161" w:rsidR="00B7529B" w:rsidRPr="004377B1" w:rsidRDefault="004377B1" w:rsidP="00847BF0">
            <w:pPr>
              <w:jc w:val="both"/>
              <w:rPr>
                <w:rFonts w:ascii="Arial" w:hAnsi="Arial" w:cs="Arial"/>
                <w:b/>
                <w:bCs/>
                <w:sz w:val="20"/>
                <w:szCs w:val="20"/>
              </w:rPr>
            </w:pPr>
            <w:r w:rsidRPr="004377B1">
              <w:rPr>
                <w:rFonts w:ascii="Arial" w:hAnsi="Arial" w:cs="Arial"/>
                <w:i/>
                <w:sz w:val="20"/>
                <w:szCs w:val="20"/>
              </w:rPr>
              <w:t>„The location and installation of the equipment should be adequate to minimize risks of errors or contamination. Aseptic connections should be performed in a critical clean area of grade A with a background clean area of grade B.“</w:t>
            </w:r>
          </w:p>
        </w:tc>
        <w:tc>
          <w:tcPr>
            <w:tcW w:w="9185" w:type="dxa"/>
          </w:tcPr>
          <w:p w14:paraId="101CD888" w14:textId="3EABA131"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 xml:space="preserve">: </w:t>
            </w:r>
          </w:p>
          <w:p w14:paraId="3DAF8CB7" w14:textId="77777777" w:rsidR="004377B1" w:rsidRDefault="00B7529B" w:rsidP="00D66BDE">
            <w:pPr>
              <w:pStyle w:val="TabletextrowsAgency"/>
              <w:rPr>
                <w:rFonts w:ascii="Arial" w:hAnsi="Arial" w:cs="Arial"/>
                <w:sz w:val="20"/>
                <w:szCs w:val="20"/>
              </w:rPr>
            </w:pPr>
            <w:r w:rsidRPr="004377B1">
              <w:rPr>
                <w:rFonts w:ascii="Arial" w:hAnsi="Arial" w:cs="Arial"/>
                <w:sz w:val="20"/>
                <w:szCs w:val="20"/>
              </w:rPr>
              <w:t xml:space="preserve">For first in man trials it is accepted to make connections in an A in C area </w:t>
            </w:r>
          </w:p>
          <w:p w14:paraId="3DAB98CC" w14:textId="12B61E5A" w:rsidR="00B7529B" w:rsidRDefault="00B7529B" w:rsidP="00D66BDE">
            <w:pPr>
              <w:pStyle w:val="TabletextrowsAgency"/>
              <w:rPr>
                <w:rFonts w:ascii="Arial" w:hAnsi="Arial" w:cs="Arial"/>
                <w:sz w:val="20"/>
                <w:szCs w:val="20"/>
              </w:rPr>
            </w:pPr>
            <w:r w:rsidRPr="004377B1">
              <w:rPr>
                <w:rFonts w:ascii="Arial" w:hAnsi="Arial" w:cs="Arial"/>
                <w:sz w:val="20"/>
                <w:szCs w:val="20"/>
              </w:rPr>
              <w:t xml:space="preserve">(line 322 f.), which contradicts the statement above. </w:t>
            </w:r>
          </w:p>
          <w:p w14:paraId="64672453" w14:textId="77777777" w:rsidR="004377B1" w:rsidRDefault="004377B1" w:rsidP="00D66BDE">
            <w:pPr>
              <w:pStyle w:val="TabletextrowsAgency"/>
              <w:rPr>
                <w:rFonts w:ascii="Arial" w:hAnsi="Arial" w:cs="Arial"/>
                <w:sz w:val="20"/>
                <w:szCs w:val="20"/>
              </w:rPr>
            </w:pPr>
          </w:p>
          <w:p w14:paraId="6FB71C50" w14:textId="12807076" w:rsidR="004377B1" w:rsidRPr="004377B1" w:rsidRDefault="004377B1" w:rsidP="00D66BDE">
            <w:pPr>
              <w:pStyle w:val="TabletextrowsAgency"/>
              <w:rPr>
                <w:rFonts w:ascii="Arial" w:hAnsi="Arial" w:cs="Arial"/>
                <w:sz w:val="20"/>
                <w:szCs w:val="20"/>
              </w:rPr>
            </w:pPr>
            <w:r w:rsidRPr="004377B1">
              <w:rPr>
                <w:rFonts w:ascii="Arial" w:hAnsi="Arial" w:cs="Arial"/>
                <w:sz w:val="20"/>
                <w:szCs w:val="20"/>
                <w:u w:val="single"/>
              </w:rPr>
              <w:t>Amendment proposal</w:t>
            </w:r>
            <w:r w:rsidRPr="004377B1">
              <w:rPr>
                <w:rFonts w:ascii="Arial" w:hAnsi="Arial" w:cs="Arial"/>
                <w:sz w:val="20"/>
                <w:szCs w:val="20"/>
              </w:rPr>
              <w:t>:</w:t>
            </w:r>
          </w:p>
          <w:p w14:paraId="78D14805" w14:textId="289887FC" w:rsidR="00B7529B" w:rsidRPr="004377B1" w:rsidRDefault="004377B1" w:rsidP="00D66BDE">
            <w:pPr>
              <w:rPr>
                <w:rFonts w:ascii="Arial" w:hAnsi="Arial" w:cs="Arial"/>
                <w:sz w:val="20"/>
                <w:szCs w:val="20"/>
              </w:rPr>
            </w:pPr>
            <w:r>
              <w:rPr>
                <w:rFonts w:ascii="Arial" w:hAnsi="Arial" w:cs="Arial"/>
                <w:sz w:val="20"/>
                <w:szCs w:val="20"/>
              </w:rPr>
              <w:t>W</w:t>
            </w:r>
            <w:r w:rsidR="00B7529B" w:rsidRPr="004377B1">
              <w:rPr>
                <w:rFonts w:ascii="Arial" w:hAnsi="Arial" w:cs="Arial"/>
                <w:sz w:val="20"/>
                <w:szCs w:val="20"/>
              </w:rPr>
              <w:t>e suggest to add the same sentence to the statement in lines 659 f. as well in order to harmonize the requirements.</w:t>
            </w:r>
          </w:p>
        </w:tc>
      </w:tr>
      <w:tr w:rsidR="00B7529B" w:rsidRPr="00012748" w14:paraId="3D9F2CC4" w14:textId="77777777" w:rsidTr="004377B1">
        <w:trPr>
          <w:trHeight w:val="1765"/>
        </w:trPr>
        <w:tc>
          <w:tcPr>
            <w:tcW w:w="4531" w:type="dxa"/>
          </w:tcPr>
          <w:p w14:paraId="5A3704F3" w14:textId="26172250" w:rsidR="00B7529B" w:rsidRPr="004377B1" w:rsidRDefault="00B7529B" w:rsidP="00847BF0">
            <w:pPr>
              <w:jc w:val="both"/>
              <w:rPr>
                <w:rFonts w:ascii="Arial" w:hAnsi="Arial" w:cs="Arial"/>
                <w:b/>
                <w:bCs/>
                <w:sz w:val="20"/>
                <w:szCs w:val="20"/>
              </w:rPr>
            </w:pPr>
            <w:r w:rsidRPr="004377B1">
              <w:rPr>
                <w:rFonts w:ascii="Arial" w:hAnsi="Arial" w:cs="Arial"/>
                <w:sz w:val="20"/>
                <w:szCs w:val="20"/>
              </w:rPr>
              <w:t>660-661</w:t>
            </w:r>
          </w:p>
        </w:tc>
        <w:tc>
          <w:tcPr>
            <w:tcW w:w="9185" w:type="dxa"/>
          </w:tcPr>
          <w:p w14:paraId="37DC3910" w14:textId="77777777" w:rsidR="00E51302"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 xml:space="preserve">: </w:t>
            </w:r>
          </w:p>
          <w:p w14:paraId="1E8530EC" w14:textId="1685EEA9" w:rsidR="00B7529B" w:rsidRDefault="00B7529B" w:rsidP="00D66BDE">
            <w:pPr>
              <w:pStyle w:val="TabletextrowsAgency"/>
              <w:rPr>
                <w:rFonts w:ascii="Arial" w:hAnsi="Arial" w:cs="Arial"/>
                <w:sz w:val="20"/>
                <w:szCs w:val="20"/>
              </w:rPr>
            </w:pPr>
            <w:r w:rsidRPr="004377B1">
              <w:rPr>
                <w:rFonts w:ascii="Arial" w:hAnsi="Arial" w:cs="Arial"/>
                <w:sz w:val="20"/>
                <w:szCs w:val="20"/>
              </w:rPr>
              <w:t>Aseptic connections can also be done by sterile tube welding (functionally closed systems) which do not need a grade A in B. Current wording is too categorical.</w:t>
            </w:r>
          </w:p>
          <w:p w14:paraId="7EA59919" w14:textId="77777777" w:rsidR="004377B1" w:rsidRPr="004377B1" w:rsidRDefault="004377B1" w:rsidP="00D66BDE">
            <w:pPr>
              <w:pStyle w:val="TabletextrowsAgency"/>
              <w:rPr>
                <w:rFonts w:ascii="Arial" w:hAnsi="Arial" w:cs="Arial"/>
                <w:sz w:val="20"/>
                <w:szCs w:val="20"/>
              </w:rPr>
            </w:pPr>
          </w:p>
          <w:p w14:paraId="757B7D9E" w14:textId="77777777" w:rsidR="004377B1" w:rsidRDefault="004377B1" w:rsidP="00D66BDE">
            <w:pPr>
              <w:rPr>
                <w:rFonts w:ascii="Arial" w:eastAsia="Times New Roman" w:hAnsi="Arial" w:cs="Arial"/>
                <w:sz w:val="20"/>
                <w:szCs w:val="20"/>
                <w:lang w:eastAsia="zh-CN"/>
              </w:rPr>
            </w:pPr>
            <w:r w:rsidRPr="004377B1">
              <w:rPr>
                <w:rFonts w:ascii="Arial" w:eastAsia="Times New Roman" w:hAnsi="Arial" w:cs="Arial"/>
                <w:sz w:val="20"/>
                <w:szCs w:val="20"/>
                <w:u w:val="single"/>
                <w:lang w:eastAsia="zh-CN"/>
              </w:rPr>
              <w:t>Amendment proposal</w:t>
            </w:r>
            <w:r w:rsidRPr="004377B1">
              <w:rPr>
                <w:rFonts w:ascii="Arial" w:eastAsia="Times New Roman" w:hAnsi="Arial" w:cs="Arial"/>
                <w:sz w:val="20"/>
                <w:szCs w:val="20"/>
                <w:lang w:eastAsia="zh-CN"/>
              </w:rPr>
              <w:t>:</w:t>
            </w:r>
          </w:p>
          <w:p w14:paraId="0BC5C83B" w14:textId="37C01A7F" w:rsidR="00B7529B" w:rsidRPr="004377B1" w:rsidRDefault="004377B1" w:rsidP="00D66BDE">
            <w:pPr>
              <w:rPr>
                <w:rFonts w:ascii="Arial" w:hAnsi="Arial" w:cs="Arial"/>
                <w:sz w:val="20"/>
                <w:szCs w:val="20"/>
              </w:rPr>
            </w:pPr>
            <w:r>
              <w:rPr>
                <w:rFonts w:ascii="Arial" w:hAnsi="Arial" w:cs="Arial"/>
                <w:color w:val="000000" w:themeColor="text1"/>
                <w:sz w:val="20"/>
                <w:szCs w:val="20"/>
              </w:rPr>
              <w:t xml:space="preserve">We suggest to add the following sentence: </w:t>
            </w:r>
            <w:r w:rsidR="00B7529B" w:rsidRPr="004377B1">
              <w:rPr>
                <w:rFonts w:ascii="Arial" w:hAnsi="Arial" w:cs="Arial"/>
                <w:color w:val="000000" w:themeColor="text1"/>
                <w:sz w:val="20"/>
                <w:szCs w:val="20"/>
              </w:rPr>
              <w:t>Aseptic connections can also be made using a functionally closed system such as sterile tube welding.</w:t>
            </w:r>
          </w:p>
        </w:tc>
      </w:tr>
      <w:tr w:rsidR="00B7529B" w:rsidRPr="00012748" w14:paraId="2B9F7447" w14:textId="77777777" w:rsidTr="004377B1">
        <w:trPr>
          <w:trHeight w:val="1191"/>
        </w:trPr>
        <w:tc>
          <w:tcPr>
            <w:tcW w:w="4531" w:type="dxa"/>
          </w:tcPr>
          <w:p w14:paraId="18B0981E" w14:textId="608C0B23" w:rsidR="00B7529B" w:rsidRPr="004377B1" w:rsidRDefault="00B7529B" w:rsidP="00847BF0">
            <w:pPr>
              <w:jc w:val="both"/>
              <w:rPr>
                <w:rFonts w:ascii="Arial" w:hAnsi="Arial" w:cs="Arial"/>
                <w:b/>
                <w:bCs/>
                <w:sz w:val="20"/>
                <w:szCs w:val="20"/>
              </w:rPr>
            </w:pPr>
            <w:r w:rsidRPr="004377B1">
              <w:rPr>
                <w:rFonts w:ascii="Arial" w:hAnsi="Arial" w:cs="Arial"/>
                <w:sz w:val="20"/>
                <w:szCs w:val="20"/>
              </w:rPr>
              <w:t>1227-1229 and f.</w:t>
            </w:r>
          </w:p>
        </w:tc>
        <w:tc>
          <w:tcPr>
            <w:tcW w:w="9185" w:type="dxa"/>
          </w:tcPr>
          <w:p w14:paraId="1F3C8F47" w14:textId="21E796B5"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49C87E3B" w14:textId="71515535" w:rsidR="00B7529B" w:rsidRPr="004377B1" w:rsidRDefault="00B7529B" w:rsidP="00D66BDE">
            <w:pPr>
              <w:rPr>
                <w:rFonts w:ascii="Arial" w:hAnsi="Arial" w:cs="Arial"/>
                <w:sz w:val="20"/>
                <w:szCs w:val="20"/>
              </w:rPr>
            </w:pPr>
            <w:r w:rsidRPr="004377B1">
              <w:rPr>
                <w:rFonts w:ascii="Arial" w:hAnsi="Arial" w:cs="Arial"/>
                <w:sz w:val="20"/>
                <w:szCs w:val="20"/>
              </w:rPr>
              <w:t>We would like to propose additional definitions with regard to aseptic connections (e.g. needles in septum, luer locks), sterile connections (e.g. tube to tube welding, aseptic connections with a sterile septum and spikes with filters).</w:t>
            </w:r>
          </w:p>
        </w:tc>
      </w:tr>
      <w:tr w:rsidR="00B7529B" w:rsidRPr="00012748" w14:paraId="42664AF7" w14:textId="77777777" w:rsidTr="004377B1">
        <w:trPr>
          <w:trHeight w:val="1135"/>
        </w:trPr>
        <w:tc>
          <w:tcPr>
            <w:tcW w:w="4531" w:type="dxa"/>
          </w:tcPr>
          <w:p w14:paraId="632E548D" w14:textId="779420C4" w:rsidR="00B7529B" w:rsidRPr="004377B1" w:rsidRDefault="00B7529B" w:rsidP="00847BF0">
            <w:pPr>
              <w:jc w:val="both"/>
              <w:rPr>
                <w:rFonts w:ascii="Arial" w:hAnsi="Arial" w:cs="Arial"/>
                <w:b/>
                <w:bCs/>
                <w:sz w:val="20"/>
                <w:szCs w:val="20"/>
              </w:rPr>
            </w:pPr>
            <w:r w:rsidRPr="004377B1">
              <w:rPr>
                <w:rFonts w:ascii="Arial" w:hAnsi="Arial" w:cs="Arial"/>
                <w:sz w:val="20"/>
                <w:szCs w:val="20"/>
              </w:rPr>
              <w:t>1268 f.</w:t>
            </w:r>
          </w:p>
        </w:tc>
        <w:tc>
          <w:tcPr>
            <w:tcW w:w="9185" w:type="dxa"/>
          </w:tcPr>
          <w:p w14:paraId="6956C350" w14:textId="6577C156"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036E880F" w14:textId="408FCF3F" w:rsidR="00B7529B" w:rsidRPr="004377B1" w:rsidRDefault="00B7529B" w:rsidP="00D66BDE">
            <w:pPr>
              <w:rPr>
                <w:rFonts w:ascii="Arial" w:hAnsi="Arial" w:cs="Arial"/>
                <w:sz w:val="20"/>
                <w:szCs w:val="20"/>
              </w:rPr>
            </w:pPr>
            <w:r w:rsidRPr="004377B1">
              <w:rPr>
                <w:rFonts w:ascii="Arial" w:hAnsi="Arial" w:cs="Arial"/>
                <w:sz w:val="20"/>
                <w:szCs w:val="20"/>
              </w:rPr>
              <w:t>We would like to clarify that the term „closed system“ still applies in case of spiking of buffers is an aseptic process if the buffer is sterile filtered before reaching the closed system by the use of micro-organism retentive filters.</w:t>
            </w:r>
          </w:p>
        </w:tc>
      </w:tr>
      <w:tr w:rsidR="00B7529B" w:rsidRPr="00012748" w14:paraId="59D9E53A" w14:textId="77777777" w:rsidTr="004377B1">
        <w:trPr>
          <w:trHeight w:val="1485"/>
        </w:trPr>
        <w:tc>
          <w:tcPr>
            <w:tcW w:w="4531" w:type="dxa"/>
          </w:tcPr>
          <w:p w14:paraId="3DE48358" w14:textId="08BA045B" w:rsidR="00B7529B" w:rsidRPr="004377B1" w:rsidRDefault="00B7529B" w:rsidP="00847BF0">
            <w:pPr>
              <w:jc w:val="both"/>
              <w:rPr>
                <w:rFonts w:ascii="Arial" w:hAnsi="Arial" w:cs="Arial"/>
                <w:b/>
                <w:bCs/>
                <w:sz w:val="20"/>
                <w:szCs w:val="20"/>
              </w:rPr>
            </w:pPr>
            <w:r w:rsidRPr="004377B1">
              <w:rPr>
                <w:rFonts w:ascii="Arial" w:hAnsi="Arial" w:cs="Arial"/>
                <w:sz w:val="20"/>
                <w:szCs w:val="20"/>
              </w:rPr>
              <w:t>1270</w:t>
            </w:r>
          </w:p>
        </w:tc>
        <w:tc>
          <w:tcPr>
            <w:tcW w:w="9185" w:type="dxa"/>
          </w:tcPr>
          <w:p w14:paraId="173BB88B" w14:textId="5E9868A3"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69236823" w14:textId="2EDD5EE2" w:rsidR="00B7529B" w:rsidRPr="004377B1" w:rsidRDefault="00B7529B" w:rsidP="00D66BDE">
            <w:pPr>
              <w:pStyle w:val="TabletextrowsAgency"/>
              <w:rPr>
                <w:rFonts w:ascii="Arial" w:hAnsi="Arial" w:cs="Arial"/>
                <w:sz w:val="20"/>
                <w:szCs w:val="20"/>
              </w:rPr>
            </w:pPr>
            <w:r w:rsidRPr="004377B1">
              <w:rPr>
                <w:rFonts w:ascii="Arial" w:hAnsi="Arial" w:cs="Arial"/>
                <w:sz w:val="20"/>
                <w:szCs w:val="20"/>
              </w:rPr>
              <w:t>The meaning the “exhaust air of isolator</w:t>
            </w:r>
            <w:r w:rsidR="004377B1">
              <w:rPr>
                <w:rFonts w:ascii="Arial" w:hAnsi="Arial" w:cs="Arial"/>
                <w:sz w:val="20"/>
                <w:szCs w:val="20"/>
              </w:rPr>
              <w:t xml:space="preserve">s/closed systems with separated </w:t>
            </w:r>
            <w:r w:rsidRPr="004377B1">
              <w:rPr>
                <w:rFonts w:ascii="Arial" w:hAnsi="Arial" w:cs="Arial"/>
                <w:sz w:val="20"/>
                <w:szCs w:val="20"/>
              </w:rPr>
              <w:t>expulsion” is not clear.</w:t>
            </w:r>
          </w:p>
          <w:p w14:paraId="7D8DD52C" w14:textId="77777777" w:rsidR="004377B1" w:rsidRDefault="004377B1" w:rsidP="00D66BDE">
            <w:pPr>
              <w:pStyle w:val="TabletextrowsAgency"/>
              <w:rPr>
                <w:rFonts w:ascii="Arial" w:hAnsi="Arial" w:cs="Arial"/>
                <w:sz w:val="20"/>
                <w:szCs w:val="20"/>
              </w:rPr>
            </w:pPr>
          </w:p>
          <w:p w14:paraId="4D79A522" w14:textId="77777777" w:rsidR="004377B1" w:rsidRPr="004377B1" w:rsidRDefault="004377B1" w:rsidP="00D66BDE">
            <w:pPr>
              <w:rPr>
                <w:rFonts w:ascii="Arial" w:eastAsia="Times New Roman" w:hAnsi="Arial" w:cs="Arial"/>
                <w:sz w:val="20"/>
                <w:szCs w:val="20"/>
                <w:u w:val="single"/>
                <w:lang w:eastAsia="zh-CN"/>
              </w:rPr>
            </w:pPr>
            <w:r w:rsidRPr="004377B1">
              <w:rPr>
                <w:rFonts w:ascii="Arial" w:eastAsia="Times New Roman" w:hAnsi="Arial" w:cs="Arial"/>
                <w:sz w:val="20"/>
                <w:szCs w:val="20"/>
                <w:u w:val="single"/>
                <w:lang w:eastAsia="zh-CN"/>
              </w:rPr>
              <w:t>Amendment proposal:</w:t>
            </w:r>
          </w:p>
          <w:p w14:paraId="028F987F" w14:textId="4EC0DC5F" w:rsidR="00B7529B" w:rsidRPr="004377B1" w:rsidRDefault="00B7529B" w:rsidP="00D66BDE">
            <w:pPr>
              <w:rPr>
                <w:rFonts w:ascii="Arial" w:hAnsi="Arial" w:cs="Arial"/>
                <w:sz w:val="20"/>
                <w:szCs w:val="20"/>
              </w:rPr>
            </w:pPr>
            <w:r w:rsidRPr="004377B1">
              <w:rPr>
                <w:rFonts w:ascii="Arial" w:hAnsi="Arial" w:cs="Arial"/>
                <w:sz w:val="20"/>
                <w:szCs w:val="20"/>
              </w:rPr>
              <w:t>We suggest that exhaust air filtration is appropriate.</w:t>
            </w:r>
          </w:p>
        </w:tc>
      </w:tr>
      <w:tr w:rsidR="00B7529B" w:rsidRPr="00012748" w14:paraId="3AEDD4BA" w14:textId="77777777" w:rsidTr="004377B1">
        <w:trPr>
          <w:trHeight w:val="996"/>
        </w:trPr>
        <w:tc>
          <w:tcPr>
            <w:tcW w:w="4531" w:type="dxa"/>
          </w:tcPr>
          <w:p w14:paraId="75620732" w14:textId="6345C1FE" w:rsidR="00B7529B" w:rsidRPr="004377B1" w:rsidRDefault="00B7529B" w:rsidP="00847BF0">
            <w:pPr>
              <w:jc w:val="both"/>
              <w:rPr>
                <w:rFonts w:ascii="Arial" w:hAnsi="Arial" w:cs="Arial"/>
                <w:b/>
                <w:bCs/>
                <w:sz w:val="20"/>
                <w:szCs w:val="20"/>
              </w:rPr>
            </w:pPr>
            <w:r w:rsidRPr="004377B1">
              <w:rPr>
                <w:rFonts w:ascii="Arial" w:hAnsi="Arial" w:cs="Arial"/>
                <w:sz w:val="20"/>
                <w:szCs w:val="20"/>
              </w:rPr>
              <w:t>1624</w:t>
            </w:r>
          </w:p>
        </w:tc>
        <w:tc>
          <w:tcPr>
            <w:tcW w:w="9185" w:type="dxa"/>
          </w:tcPr>
          <w:p w14:paraId="5106C739" w14:textId="642D8B64"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4CBAF24A" w14:textId="0C15C5E1" w:rsidR="00B7529B" w:rsidRPr="004377B1" w:rsidRDefault="00B7529B" w:rsidP="00D66BDE">
            <w:pPr>
              <w:rPr>
                <w:rFonts w:ascii="Arial" w:hAnsi="Arial" w:cs="Arial"/>
                <w:sz w:val="20"/>
                <w:szCs w:val="20"/>
              </w:rPr>
            </w:pPr>
            <w:r w:rsidRPr="004377B1">
              <w:rPr>
                <w:rFonts w:ascii="Arial" w:hAnsi="Arial" w:cs="Arial"/>
                <w:sz w:val="20"/>
                <w:szCs w:val="20"/>
              </w:rPr>
              <w:t>Validation of the manufacturing process for investigational ATMP is not necessary. Contradictory to the requirements to get a manufacturing license where validation is necessary in general.</w:t>
            </w:r>
          </w:p>
        </w:tc>
      </w:tr>
      <w:tr w:rsidR="00B7529B" w:rsidRPr="00012748" w14:paraId="1E8C2BBC" w14:textId="77777777" w:rsidTr="004377B1">
        <w:trPr>
          <w:trHeight w:val="2282"/>
        </w:trPr>
        <w:tc>
          <w:tcPr>
            <w:tcW w:w="4531" w:type="dxa"/>
          </w:tcPr>
          <w:p w14:paraId="1AF865C3" w14:textId="06300A30" w:rsidR="00B7529B" w:rsidRPr="004377B1" w:rsidRDefault="00B7529B" w:rsidP="00847BF0">
            <w:pPr>
              <w:jc w:val="both"/>
              <w:rPr>
                <w:rFonts w:ascii="Arial" w:hAnsi="Arial" w:cs="Arial"/>
                <w:b/>
                <w:bCs/>
                <w:sz w:val="20"/>
                <w:szCs w:val="20"/>
              </w:rPr>
            </w:pPr>
            <w:r w:rsidRPr="004377B1">
              <w:rPr>
                <w:rFonts w:ascii="Arial" w:hAnsi="Arial" w:cs="Arial"/>
                <w:sz w:val="20"/>
                <w:szCs w:val="20"/>
              </w:rPr>
              <w:t>1808</w:t>
            </w:r>
          </w:p>
        </w:tc>
        <w:tc>
          <w:tcPr>
            <w:tcW w:w="9185" w:type="dxa"/>
          </w:tcPr>
          <w:p w14:paraId="02769AF3" w14:textId="168DF3AB"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1B2312FA" w14:textId="77777777" w:rsidR="00B7529B" w:rsidRPr="004377B1" w:rsidRDefault="00B7529B" w:rsidP="00D66BDE">
            <w:pPr>
              <w:pStyle w:val="TabletextrowsAgency"/>
              <w:rPr>
                <w:rFonts w:ascii="Arial" w:hAnsi="Arial" w:cs="Arial"/>
                <w:sz w:val="20"/>
                <w:szCs w:val="20"/>
              </w:rPr>
            </w:pPr>
            <w:r w:rsidRPr="004377B1">
              <w:rPr>
                <w:rFonts w:ascii="Arial" w:hAnsi="Arial" w:cs="Arial"/>
                <w:sz w:val="20"/>
                <w:szCs w:val="20"/>
              </w:rPr>
              <w:t>Could the regulators please give advice on how the QP is responsible: are those kind of “out-of-spec products” obliged QP-release before administration or are the doctors solely responsible and no QP-release is needed?</w:t>
            </w:r>
          </w:p>
          <w:p w14:paraId="2B9BCB3A" w14:textId="77777777" w:rsidR="00B7529B" w:rsidRPr="004377B1" w:rsidRDefault="00B7529B" w:rsidP="00D66BDE">
            <w:pPr>
              <w:pStyle w:val="TabletextrowsAgency"/>
              <w:rPr>
                <w:rFonts w:ascii="Arial" w:hAnsi="Arial" w:cs="Arial"/>
                <w:sz w:val="20"/>
                <w:szCs w:val="20"/>
              </w:rPr>
            </w:pPr>
          </w:p>
          <w:p w14:paraId="3E3F5973" w14:textId="77777777" w:rsidR="004377B1" w:rsidRPr="004377B1" w:rsidRDefault="004377B1" w:rsidP="00D66BDE">
            <w:pPr>
              <w:rPr>
                <w:rFonts w:ascii="Arial" w:hAnsi="Arial" w:cs="Arial"/>
                <w:sz w:val="20"/>
                <w:szCs w:val="20"/>
                <w:u w:val="single"/>
              </w:rPr>
            </w:pPr>
            <w:r w:rsidRPr="004377B1">
              <w:rPr>
                <w:rFonts w:ascii="Arial" w:hAnsi="Arial" w:cs="Arial"/>
                <w:sz w:val="20"/>
                <w:szCs w:val="20"/>
                <w:u w:val="single"/>
              </w:rPr>
              <w:t>Amendment proposal:</w:t>
            </w:r>
          </w:p>
          <w:p w14:paraId="4664A7F5" w14:textId="1F577482" w:rsidR="00B7529B" w:rsidRPr="004377B1" w:rsidRDefault="00B7529B" w:rsidP="00D66BDE">
            <w:pPr>
              <w:rPr>
                <w:rFonts w:ascii="Arial" w:hAnsi="Arial" w:cs="Arial"/>
                <w:sz w:val="20"/>
                <w:szCs w:val="20"/>
              </w:rPr>
            </w:pPr>
            <w:r w:rsidRPr="004377B1">
              <w:rPr>
                <w:rFonts w:ascii="Arial" w:hAnsi="Arial" w:cs="Arial"/>
                <w:sz w:val="20"/>
                <w:szCs w:val="20"/>
              </w:rPr>
              <w:t>if physician wants to administer, the product has always to be QP-released. A strong QP-Doctor-interaction is needed to assess the risk/impact of the specific OOS-result.</w:t>
            </w:r>
          </w:p>
        </w:tc>
      </w:tr>
      <w:tr w:rsidR="00B7529B" w:rsidRPr="00012748" w14:paraId="1D714F36" w14:textId="77777777" w:rsidTr="004377B1">
        <w:trPr>
          <w:trHeight w:val="913"/>
        </w:trPr>
        <w:tc>
          <w:tcPr>
            <w:tcW w:w="4531" w:type="dxa"/>
          </w:tcPr>
          <w:p w14:paraId="1042B1E9" w14:textId="7C038FE7" w:rsidR="00B7529B" w:rsidRPr="004377B1" w:rsidRDefault="00B7529B" w:rsidP="00847BF0">
            <w:pPr>
              <w:jc w:val="both"/>
              <w:rPr>
                <w:rFonts w:ascii="Arial" w:hAnsi="Arial" w:cs="Arial"/>
                <w:b/>
                <w:bCs/>
                <w:sz w:val="20"/>
                <w:szCs w:val="20"/>
              </w:rPr>
            </w:pPr>
            <w:r w:rsidRPr="004377B1">
              <w:rPr>
                <w:rFonts w:ascii="Arial" w:hAnsi="Arial" w:cs="Arial"/>
                <w:sz w:val="20"/>
                <w:szCs w:val="20"/>
              </w:rPr>
              <w:t>1816-1817</w:t>
            </w:r>
          </w:p>
        </w:tc>
        <w:tc>
          <w:tcPr>
            <w:tcW w:w="9185" w:type="dxa"/>
          </w:tcPr>
          <w:p w14:paraId="1EF88D88" w14:textId="7AAC49AD"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69AFEF04" w14:textId="405A55C0" w:rsidR="00B7529B" w:rsidRPr="004377B1" w:rsidRDefault="00B7529B" w:rsidP="00D66BDE">
            <w:pPr>
              <w:rPr>
                <w:rFonts w:ascii="Arial" w:hAnsi="Arial" w:cs="Arial"/>
                <w:sz w:val="20"/>
                <w:szCs w:val="20"/>
              </w:rPr>
            </w:pPr>
            <w:r w:rsidRPr="004377B1">
              <w:rPr>
                <w:rFonts w:ascii="Arial" w:hAnsi="Arial" w:cs="Arial"/>
                <w:sz w:val="20"/>
                <w:szCs w:val="20"/>
              </w:rPr>
              <w:t>This requires an established system by the authorities so more clarification on notification process is needed.</w:t>
            </w:r>
          </w:p>
        </w:tc>
      </w:tr>
      <w:tr w:rsidR="00B7529B" w:rsidRPr="00012748" w14:paraId="45B57868" w14:textId="77777777" w:rsidTr="004377B1">
        <w:trPr>
          <w:trHeight w:val="1221"/>
        </w:trPr>
        <w:tc>
          <w:tcPr>
            <w:tcW w:w="4531" w:type="dxa"/>
          </w:tcPr>
          <w:p w14:paraId="485C364E" w14:textId="2FB48129" w:rsidR="00B7529B" w:rsidRPr="004377B1" w:rsidRDefault="00B7529B" w:rsidP="00847BF0">
            <w:pPr>
              <w:jc w:val="both"/>
              <w:rPr>
                <w:rFonts w:ascii="Arial" w:hAnsi="Arial" w:cs="Arial"/>
                <w:b/>
                <w:bCs/>
                <w:sz w:val="20"/>
                <w:szCs w:val="20"/>
              </w:rPr>
            </w:pPr>
            <w:r w:rsidRPr="004377B1">
              <w:rPr>
                <w:rFonts w:ascii="Arial" w:hAnsi="Arial" w:cs="Arial"/>
                <w:sz w:val="20"/>
                <w:szCs w:val="20"/>
              </w:rPr>
              <w:t>2081</w:t>
            </w:r>
          </w:p>
        </w:tc>
        <w:tc>
          <w:tcPr>
            <w:tcW w:w="9185" w:type="dxa"/>
          </w:tcPr>
          <w:p w14:paraId="5DD91388" w14:textId="3A37A6B6"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149C27F4" w14:textId="6BCF3BDE" w:rsidR="00B7529B" w:rsidRPr="004377B1" w:rsidRDefault="00B7529B" w:rsidP="00D66BDE">
            <w:pPr>
              <w:rPr>
                <w:rFonts w:ascii="Arial" w:hAnsi="Arial" w:cs="Arial"/>
                <w:sz w:val="20"/>
                <w:szCs w:val="20"/>
              </w:rPr>
            </w:pPr>
            <w:r w:rsidRPr="004377B1">
              <w:rPr>
                <w:rFonts w:ascii="Arial" w:hAnsi="Arial" w:cs="Arial"/>
                <w:sz w:val="20"/>
                <w:szCs w:val="20"/>
              </w:rPr>
              <w:t>What is a substantial manipulation? Regulation (EC) 1394/2007 Annex 1 defines only non-substantial manipulations. At least there should be a cross-reference to Regulation (EC) 1394/2007 regarding manipulation definitions.</w:t>
            </w:r>
          </w:p>
        </w:tc>
      </w:tr>
      <w:tr w:rsidR="00B7529B" w:rsidRPr="00012748" w14:paraId="47B46656" w14:textId="77777777" w:rsidTr="004377B1">
        <w:trPr>
          <w:trHeight w:val="1779"/>
        </w:trPr>
        <w:tc>
          <w:tcPr>
            <w:tcW w:w="4531" w:type="dxa"/>
          </w:tcPr>
          <w:p w14:paraId="78F6B945" w14:textId="77777777" w:rsidR="004377B1" w:rsidRDefault="00B7529B" w:rsidP="00847BF0">
            <w:pPr>
              <w:jc w:val="both"/>
              <w:rPr>
                <w:rFonts w:ascii="Arial" w:hAnsi="Arial" w:cs="Arial"/>
                <w:i/>
                <w:sz w:val="20"/>
                <w:szCs w:val="20"/>
              </w:rPr>
            </w:pPr>
            <w:r w:rsidRPr="004377B1">
              <w:rPr>
                <w:rFonts w:ascii="Arial" w:hAnsi="Arial" w:cs="Arial"/>
                <w:sz w:val="20"/>
                <w:szCs w:val="20"/>
              </w:rPr>
              <w:t>2176 f.</w:t>
            </w:r>
            <w:r w:rsidR="004377B1" w:rsidRPr="004377B1">
              <w:rPr>
                <w:rFonts w:ascii="Arial" w:hAnsi="Arial" w:cs="Arial"/>
                <w:i/>
                <w:sz w:val="20"/>
                <w:szCs w:val="20"/>
              </w:rPr>
              <w:t xml:space="preserve"> </w:t>
            </w:r>
          </w:p>
          <w:p w14:paraId="59DA442D" w14:textId="2C2E8095" w:rsidR="00B7529B" w:rsidRPr="004377B1" w:rsidRDefault="004377B1" w:rsidP="00847BF0">
            <w:pPr>
              <w:jc w:val="both"/>
              <w:rPr>
                <w:rFonts w:ascii="Arial" w:hAnsi="Arial" w:cs="Arial"/>
                <w:b/>
                <w:bCs/>
                <w:sz w:val="20"/>
                <w:szCs w:val="20"/>
              </w:rPr>
            </w:pPr>
            <w:r w:rsidRPr="004377B1">
              <w:rPr>
                <w:rFonts w:ascii="Arial" w:hAnsi="Arial" w:cs="Arial"/>
                <w:i/>
                <w:sz w:val="20"/>
                <w:szCs w:val="20"/>
              </w:rPr>
              <w:t>“controlled but non-classified background environment acceptable for short processes (while patient waiting)”</w:t>
            </w:r>
          </w:p>
        </w:tc>
        <w:tc>
          <w:tcPr>
            <w:tcW w:w="9185" w:type="dxa"/>
          </w:tcPr>
          <w:p w14:paraId="59616DB5" w14:textId="1108D3EA" w:rsidR="00B7529B" w:rsidRPr="004377B1" w:rsidRDefault="00E51302" w:rsidP="004377B1">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25765555" w14:textId="09BAA33B" w:rsidR="00B7529B" w:rsidRPr="004377B1" w:rsidRDefault="00B7529B" w:rsidP="00D66BDE">
            <w:pPr>
              <w:rPr>
                <w:rFonts w:ascii="Arial" w:hAnsi="Arial" w:cs="Arial"/>
                <w:sz w:val="20"/>
                <w:szCs w:val="20"/>
              </w:rPr>
            </w:pPr>
            <w:r w:rsidRPr="004377B1">
              <w:rPr>
                <w:rFonts w:ascii="Arial" w:hAnsi="Arial" w:cs="Arial"/>
                <w:sz w:val="20"/>
                <w:szCs w:val="20"/>
              </w:rPr>
              <w:t>This paragraph doesn’t consider longer procedures while patient might be even waiting at home - why limit to short processes while patient is in surgery? A validated closed system is proven for having no contact between the product and the environment, even reduced particle monitoring is acceptable if justified (refer to lines 572 f.), so if the patient can wait days during manufacture, so longer procedures performed under validated closed system should also be manufacturer controlled non classified room for weeks.</w:t>
            </w:r>
          </w:p>
        </w:tc>
      </w:tr>
      <w:tr w:rsidR="00B7529B" w:rsidRPr="00012748" w14:paraId="66BB50F4" w14:textId="77777777" w:rsidTr="004377B1">
        <w:trPr>
          <w:trHeight w:val="674"/>
        </w:trPr>
        <w:tc>
          <w:tcPr>
            <w:tcW w:w="4531" w:type="dxa"/>
          </w:tcPr>
          <w:p w14:paraId="18CE6596" w14:textId="3A4F063F" w:rsidR="00B7529B" w:rsidRPr="004377B1" w:rsidRDefault="00B7529B" w:rsidP="00847BF0">
            <w:pPr>
              <w:jc w:val="both"/>
              <w:rPr>
                <w:rFonts w:ascii="Arial" w:hAnsi="Arial" w:cs="Arial"/>
                <w:b/>
                <w:bCs/>
                <w:sz w:val="20"/>
                <w:szCs w:val="20"/>
              </w:rPr>
            </w:pPr>
            <w:r w:rsidRPr="004377B1">
              <w:rPr>
                <w:rFonts w:ascii="Arial" w:hAnsi="Arial" w:cs="Arial"/>
                <w:sz w:val="20"/>
                <w:szCs w:val="20"/>
              </w:rPr>
              <w:t>2200 (end of the line)</w:t>
            </w:r>
          </w:p>
        </w:tc>
        <w:tc>
          <w:tcPr>
            <w:tcW w:w="9185" w:type="dxa"/>
          </w:tcPr>
          <w:p w14:paraId="3B1D7B61" w14:textId="640C9CCB"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411BE8B5" w14:textId="751310CD" w:rsidR="00B7529B" w:rsidRPr="004377B1" w:rsidRDefault="00B7529B" w:rsidP="00D66BDE">
            <w:pPr>
              <w:rPr>
                <w:rFonts w:ascii="Arial" w:hAnsi="Arial" w:cs="Arial"/>
                <w:sz w:val="20"/>
                <w:szCs w:val="20"/>
              </w:rPr>
            </w:pPr>
            <w:r w:rsidRPr="004377B1">
              <w:rPr>
                <w:rFonts w:ascii="Arial" w:hAnsi="Arial" w:cs="Arial"/>
                <w:sz w:val="20"/>
                <w:szCs w:val="20"/>
              </w:rPr>
              <w:t>number of the section to refer to is missing.</w:t>
            </w:r>
          </w:p>
        </w:tc>
      </w:tr>
      <w:tr w:rsidR="00B7529B" w:rsidRPr="00012748" w14:paraId="41AAAA34" w14:textId="77777777" w:rsidTr="004377B1">
        <w:trPr>
          <w:trHeight w:val="1233"/>
        </w:trPr>
        <w:tc>
          <w:tcPr>
            <w:tcW w:w="4531" w:type="dxa"/>
          </w:tcPr>
          <w:p w14:paraId="2419C27E" w14:textId="04AF61CD" w:rsidR="00B7529B" w:rsidRPr="004377B1" w:rsidRDefault="00B7529B" w:rsidP="00847BF0">
            <w:pPr>
              <w:jc w:val="both"/>
              <w:rPr>
                <w:rFonts w:ascii="Arial" w:hAnsi="Arial" w:cs="Arial"/>
                <w:b/>
                <w:bCs/>
                <w:sz w:val="20"/>
                <w:szCs w:val="20"/>
              </w:rPr>
            </w:pPr>
            <w:r w:rsidRPr="004377B1">
              <w:rPr>
                <w:rFonts w:ascii="Arial" w:hAnsi="Arial" w:cs="Arial"/>
                <w:sz w:val="20"/>
                <w:szCs w:val="20"/>
              </w:rPr>
              <w:t>2202-2203</w:t>
            </w:r>
          </w:p>
        </w:tc>
        <w:tc>
          <w:tcPr>
            <w:tcW w:w="9185" w:type="dxa"/>
          </w:tcPr>
          <w:p w14:paraId="4B507125" w14:textId="2A7BD304" w:rsidR="00B7529B" w:rsidRPr="004377B1" w:rsidRDefault="00E51302" w:rsidP="00D66BDE">
            <w:pPr>
              <w:pStyle w:val="TabletextrowsAgency"/>
              <w:rPr>
                <w:rFonts w:ascii="Arial" w:hAnsi="Arial" w:cs="Arial"/>
                <w:sz w:val="20"/>
                <w:szCs w:val="20"/>
              </w:rPr>
            </w:pPr>
            <w:r w:rsidRPr="00E51302">
              <w:rPr>
                <w:rFonts w:ascii="Arial" w:hAnsi="Arial" w:cs="Arial"/>
                <w:sz w:val="20"/>
                <w:szCs w:val="20"/>
                <w:u w:val="single"/>
              </w:rPr>
              <w:t>Comment</w:t>
            </w:r>
            <w:r w:rsidR="00B7529B" w:rsidRPr="004377B1">
              <w:rPr>
                <w:rFonts w:ascii="Arial" w:hAnsi="Arial" w:cs="Arial"/>
                <w:sz w:val="20"/>
                <w:szCs w:val="20"/>
              </w:rPr>
              <w:t>:</w:t>
            </w:r>
          </w:p>
          <w:p w14:paraId="0B471985" w14:textId="681173A1" w:rsidR="00B7529B" w:rsidRPr="004377B1" w:rsidRDefault="00B7529B" w:rsidP="00D66BDE">
            <w:pPr>
              <w:rPr>
                <w:rFonts w:ascii="Arial" w:hAnsi="Arial" w:cs="Arial"/>
                <w:sz w:val="20"/>
                <w:szCs w:val="20"/>
              </w:rPr>
            </w:pPr>
            <w:r w:rsidRPr="004377B1">
              <w:rPr>
                <w:rFonts w:ascii="Arial" w:hAnsi="Arial" w:cs="Arial"/>
                <w:sz w:val="20"/>
                <w:szCs w:val="20"/>
              </w:rPr>
              <w:t>Same QP can be responsible for more than one site for the release of the product. Need more precision: is there still the need of a QP per manufacturing site? Can the “central” release of the multi-site-QP take place on its own or the local release by the local QP needed first?</w:t>
            </w:r>
          </w:p>
        </w:tc>
      </w:tr>
    </w:tbl>
    <w:p w14:paraId="1112D80C" w14:textId="77777777" w:rsidR="00BA52DD" w:rsidRDefault="00BA52DD" w:rsidP="00847BF0">
      <w:pPr>
        <w:spacing w:after="0" w:line="240" w:lineRule="auto"/>
        <w:jc w:val="both"/>
        <w:rPr>
          <w:rFonts w:ascii="Arial" w:hAnsi="Arial" w:cs="Arial"/>
          <w:sz w:val="20"/>
          <w:szCs w:val="20"/>
        </w:rPr>
      </w:pPr>
    </w:p>
    <w:p w14:paraId="1AF6F3F1" w14:textId="77777777" w:rsidR="003F2651" w:rsidRPr="00012748" w:rsidRDefault="003F2651" w:rsidP="00847BF0">
      <w:pPr>
        <w:spacing w:after="0" w:line="240" w:lineRule="auto"/>
        <w:jc w:val="both"/>
        <w:rPr>
          <w:rFonts w:ascii="Arial" w:hAnsi="Arial" w:cs="Arial"/>
          <w:sz w:val="20"/>
          <w:szCs w:val="20"/>
        </w:rPr>
      </w:pPr>
    </w:p>
    <w:sectPr w:rsidR="003F2651" w:rsidRPr="00012748" w:rsidSect="007B0C87">
      <w:headerReference w:type="default" r:id="rId10"/>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5BB1A" w14:textId="77777777" w:rsidR="00966DF5" w:rsidRDefault="00966DF5" w:rsidP="00EE71BF">
      <w:pPr>
        <w:spacing w:after="0" w:line="240" w:lineRule="auto"/>
      </w:pPr>
      <w:r>
        <w:separator/>
      </w:r>
    </w:p>
  </w:endnote>
  <w:endnote w:type="continuationSeparator" w:id="0">
    <w:p w14:paraId="43922E4B" w14:textId="77777777" w:rsidR="00966DF5" w:rsidRDefault="00966DF5" w:rsidP="00EE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3788"/>
      <w:docPartObj>
        <w:docPartGallery w:val="Page Numbers (Bottom of Page)"/>
        <w:docPartUnique/>
      </w:docPartObj>
    </w:sdtPr>
    <w:sdtEndPr/>
    <w:sdtContent>
      <w:p w14:paraId="35D14900" w14:textId="77777777" w:rsidR="00B225ED" w:rsidRDefault="000C283C">
        <w:pPr>
          <w:pStyle w:val="Footer"/>
          <w:jc w:val="right"/>
        </w:pPr>
        <w:r>
          <w:fldChar w:fldCharType="begin"/>
        </w:r>
        <w:r>
          <w:instrText xml:space="preserve"> PAGE   \* MERGEFORMAT </w:instrText>
        </w:r>
        <w:r>
          <w:fldChar w:fldCharType="separate"/>
        </w:r>
        <w:r w:rsidR="008D3D6F">
          <w:rPr>
            <w:noProof/>
          </w:rPr>
          <w:t>1</w:t>
        </w:r>
        <w:r>
          <w:rPr>
            <w:noProof/>
          </w:rPr>
          <w:fldChar w:fldCharType="end"/>
        </w:r>
      </w:p>
    </w:sdtContent>
  </w:sdt>
  <w:p w14:paraId="38EA5D91" w14:textId="77777777" w:rsidR="00B225ED" w:rsidRDefault="00B2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6BE42" w14:textId="77777777" w:rsidR="00966DF5" w:rsidRDefault="00966DF5" w:rsidP="00EE71BF">
      <w:pPr>
        <w:spacing w:after="0" w:line="240" w:lineRule="auto"/>
      </w:pPr>
      <w:r>
        <w:separator/>
      </w:r>
    </w:p>
  </w:footnote>
  <w:footnote w:type="continuationSeparator" w:id="0">
    <w:p w14:paraId="31870C30" w14:textId="77777777" w:rsidR="00966DF5" w:rsidRDefault="00966DF5" w:rsidP="00EE7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27F3" w14:textId="6817604F" w:rsidR="00B225ED" w:rsidRDefault="009407F5">
    <w:pPr>
      <w:pStyle w:val="Header"/>
      <w:jc w:val="right"/>
    </w:pPr>
    <w:r>
      <w:t>2</w:t>
    </w:r>
    <w:r w:rsidR="00B7529B">
      <w:t>3</w:t>
    </w:r>
    <w:r>
      <w:t xml:space="preserve"> September</w:t>
    </w:r>
    <w:r w:rsidR="004C4919">
      <w:t xml:space="preserve"> 2016</w:t>
    </w:r>
  </w:p>
  <w:p w14:paraId="75306B71" w14:textId="77777777" w:rsidR="00B225ED" w:rsidRDefault="00B2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5D"/>
    <w:multiLevelType w:val="hybridMultilevel"/>
    <w:tmpl w:val="23F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B51D1"/>
    <w:multiLevelType w:val="hybridMultilevel"/>
    <w:tmpl w:val="EA6E2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2442AB"/>
    <w:multiLevelType w:val="hybridMultilevel"/>
    <w:tmpl w:val="B196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64AFE"/>
    <w:multiLevelType w:val="hybridMultilevel"/>
    <w:tmpl w:val="757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037A4"/>
    <w:multiLevelType w:val="hybridMultilevel"/>
    <w:tmpl w:val="70FCD454"/>
    <w:lvl w:ilvl="0" w:tplc="9662B4F4">
      <w:start w:val="36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A27F56"/>
    <w:multiLevelType w:val="hybridMultilevel"/>
    <w:tmpl w:val="E4EE3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73197A"/>
    <w:multiLevelType w:val="hybridMultilevel"/>
    <w:tmpl w:val="20D6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261FF"/>
    <w:multiLevelType w:val="hybridMultilevel"/>
    <w:tmpl w:val="5824E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2651"/>
    <w:rsid w:val="00011340"/>
    <w:rsid w:val="00012748"/>
    <w:rsid w:val="00016002"/>
    <w:rsid w:val="00017765"/>
    <w:rsid w:val="00024127"/>
    <w:rsid w:val="00030280"/>
    <w:rsid w:val="000340ED"/>
    <w:rsid w:val="00037723"/>
    <w:rsid w:val="000458DA"/>
    <w:rsid w:val="00070043"/>
    <w:rsid w:val="00075C20"/>
    <w:rsid w:val="00077EB5"/>
    <w:rsid w:val="00080EA4"/>
    <w:rsid w:val="00092BDE"/>
    <w:rsid w:val="00097788"/>
    <w:rsid w:val="000977C3"/>
    <w:rsid w:val="000A391C"/>
    <w:rsid w:val="000A4F1B"/>
    <w:rsid w:val="000A7F57"/>
    <w:rsid w:val="000B53E9"/>
    <w:rsid w:val="000B7401"/>
    <w:rsid w:val="000C283C"/>
    <w:rsid w:val="000E4B78"/>
    <w:rsid w:val="000F4816"/>
    <w:rsid w:val="000F6488"/>
    <w:rsid w:val="0011188D"/>
    <w:rsid w:val="00112812"/>
    <w:rsid w:val="00115B17"/>
    <w:rsid w:val="00122361"/>
    <w:rsid w:val="00123370"/>
    <w:rsid w:val="00140B66"/>
    <w:rsid w:val="001458BB"/>
    <w:rsid w:val="00162045"/>
    <w:rsid w:val="00162DE0"/>
    <w:rsid w:val="00165BC9"/>
    <w:rsid w:val="00173B8A"/>
    <w:rsid w:val="00174C3A"/>
    <w:rsid w:val="00185713"/>
    <w:rsid w:val="00186729"/>
    <w:rsid w:val="001875C6"/>
    <w:rsid w:val="00187B15"/>
    <w:rsid w:val="001902F6"/>
    <w:rsid w:val="00190339"/>
    <w:rsid w:val="0019151B"/>
    <w:rsid w:val="00195C62"/>
    <w:rsid w:val="001A6E03"/>
    <w:rsid w:val="001B2CD1"/>
    <w:rsid w:val="001B3D69"/>
    <w:rsid w:val="001B4538"/>
    <w:rsid w:val="001B6927"/>
    <w:rsid w:val="001C5630"/>
    <w:rsid w:val="001C5F68"/>
    <w:rsid w:val="001E0323"/>
    <w:rsid w:val="001E42F7"/>
    <w:rsid w:val="001F2C83"/>
    <w:rsid w:val="001F4CA4"/>
    <w:rsid w:val="001F769D"/>
    <w:rsid w:val="002079D2"/>
    <w:rsid w:val="00211E45"/>
    <w:rsid w:val="00216EBE"/>
    <w:rsid w:val="002224AF"/>
    <w:rsid w:val="00222656"/>
    <w:rsid w:val="00224A50"/>
    <w:rsid w:val="00236573"/>
    <w:rsid w:val="00240380"/>
    <w:rsid w:val="002458BB"/>
    <w:rsid w:val="002474FE"/>
    <w:rsid w:val="00254111"/>
    <w:rsid w:val="00270442"/>
    <w:rsid w:val="0027302B"/>
    <w:rsid w:val="00274CAC"/>
    <w:rsid w:val="00290E7E"/>
    <w:rsid w:val="00294BB2"/>
    <w:rsid w:val="002A0567"/>
    <w:rsid w:val="002A0CDF"/>
    <w:rsid w:val="002A5430"/>
    <w:rsid w:val="002B0177"/>
    <w:rsid w:val="002B3D39"/>
    <w:rsid w:val="002C0035"/>
    <w:rsid w:val="002C1F8E"/>
    <w:rsid w:val="002D437B"/>
    <w:rsid w:val="002D4E36"/>
    <w:rsid w:val="002D51E0"/>
    <w:rsid w:val="002E1876"/>
    <w:rsid w:val="002E7CB0"/>
    <w:rsid w:val="00300D52"/>
    <w:rsid w:val="003017EE"/>
    <w:rsid w:val="00301BFE"/>
    <w:rsid w:val="00305BCC"/>
    <w:rsid w:val="00313155"/>
    <w:rsid w:val="003276A1"/>
    <w:rsid w:val="00333230"/>
    <w:rsid w:val="003365CC"/>
    <w:rsid w:val="003417AD"/>
    <w:rsid w:val="00355CCF"/>
    <w:rsid w:val="00361CF1"/>
    <w:rsid w:val="00365080"/>
    <w:rsid w:val="00377580"/>
    <w:rsid w:val="003838AC"/>
    <w:rsid w:val="003947B5"/>
    <w:rsid w:val="003A6D3D"/>
    <w:rsid w:val="003B2463"/>
    <w:rsid w:val="003B797E"/>
    <w:rsid w:val="003C4C0D"/>
    <w:rsid w:val="003C5941"/>
    <w:rsid w:val="003D0C62"/>
    <w:rsid w:val="003E12E5"/>
    <w:rsid w:val="003F2651"/>
    <w:rsid w:val="003F5D84"/>
    <w:rsid w:val="003F76A2"/>
    <w:rsid w:val="00405930"/>
    <w:rsid w:val="0040666F"/>
    <w:rsid w:val="00413FD3"/>
    <w:rsid w:val="00417E9A"/>
    <w:rsid w:val="004266B3"/>
    <w:rsid w:val="004266F4"/>
    <w:rsid w:val="0043063B"/>
    <w:rsid w:val="004318BC"/>
    <w:rsid w:val="00435F7B"/>
    <w:rsid w:val="004377B1"/>
    <w:rsid w:val="00440CE0"/>
    <w:rsid w:val="00441356"/>
    <w:rsid w:val="00445781"/>
    <w:rsid w:val="004765BB"/>
    <w:rsid w:val="00483DAB"/>
    <w:rsid w:val="00497BE4"/>
    <w:rsid w:val="004A0460"/>
    <w:rsid w:val="004A058B"/>
    <w:rsid w:val="004A3799"/>
    <w:rsid w:val="004A64E4"/>
    <w:rsid w:val="004A6B39"/>
    <w:rsid w:val="004B0806"/>
    <w:rsid w:val="004B6858"/>
    <w:rsid w:val="004B7333"/>
    <w:rsid w:val="004C370A"/>
    <w:rsid w:val="004C3ED6"/>
    <w:rsid w:val="004C4919"/>
    <w:rsid w:val="004C5270"/>
    <w:rsid w:val="004D0554"/>
    <w:rsid w:val="004D6D68"/>
    <w:rsid w:val="004E243B"/>
    <w:rsid w:val="004E4EB9"/>
    <w:rsid w:val="00501219"/>
    <w:rsid w:val="00516557"/>
    <w:rsid w:val="00517700"/>
    <w:rsid w:val="005319F7"/>
    <w:rsid w:val="005367B7"/>
    <w:rsid w:val="00540AFD"/>
    <w:rsid w:val="00541530"/>
    <w:rsid w:val="005442A7"/>
    <w:rsid w:val="005528CF"/>
    <w:rsid w:val="00554073"/>
    <w:rsid w:val="00561332"/>
    <w:rsid w:val="00563E17"/>
    <w:rsid w:val="005756A4"/>
    <w:rsid w:val="00594B76"/>
    <w:rsid w:val="005A3F58"/>
    <w:rsid w:val="005C2C67"/>
    <w:rsid w:val="005C4129"/>
    <w:rsid w:val="005D16F4"/>
    <w:rsid w:val="005D7B1F"/>
    <w:rsid w:val="005F1F29"/>
    <w:rsid w:val="00607493"/>
    <w:rsid w:val="0061533B"/>
    <w:rsid w:val="006247C7"/>
    <w:rsid w:val="0062576E"/>
    <w:rsid w:val="00626CF6"/>
    <w:rsid w:val="00631A42"/>
    <w:rsid w:val="006407C6"/>
    <w:rsid w:val="006536E9"/>
    <w:rsid w:val="00654032"/>
    <w:rsid w:val="00656A55"/>
    <w:rsid w:val="006628AE"/>
    <w:rsid w:val="00676DB8"/>
    <w:rsid w:val="00695E1F"/>
    <w:rsid w:val="00697F3E"/>
    <w:rsid w:val="006A3469"/>
    <w:rsid w:val="006A3FDF"/>
    <w:rsid w:val="006B5236"/>
    <w:rsid w:val="006C318C"/>
    <w:rsid w:val="006C546B"/>
    <w:rsid w:val="006C792D"/>
    <w:rsid w:val="006D44BF"/>
    <w:rsid w:val="006E05A1"/>
    <w:rsid w:val="006E3F58"/>
    <w:rsid w:val="00732A57"/>
    <w:rsid w:val="007345A7"/>
    <w:rsid w:val="00744B9B"/>
    <w:rsid w:val="00750A76"/>
    <w:rsid w:val="0075101B"/>
    <w:rsid w:val="00780546"/>
    <w:rsid w:val="00785623"/>
    <w:rsid w:val="007B0C87"/>
    <w:rsid w:val="007B4C2E"/>
    <w:rsid w:val="007B64CD"/>
    <w:rsid w:val="007C69B1"/>
    <w:rsid w:val="007D3BE9"/>
    <w:rsid w:val="007E28CF"/>
    <w:rsid w:val="007E576C"/>
    <w:rsid w:val="007E5CDA"/>
    <w:rsid w:val="007E5F62"/>
    <w:rsid w:val="007E7DEB"/>
    <w:rsid w:val="0080313D"/>
    <w:rsid w:val="008070CD"/>
    <w:rsid w:val="008074C0"/>
    <w:rsid w:val="00812814"/>
    <w:rsid w:val="00814D64"/>
    <w:rsid w:val="00816B28"/>
    <w:rsid w:val="00827F78"/>
    <w:rsid w:val="00837F5F"/>
    <w:rsid w:val="008415AF"/>
    <w:rsid w:val="00844E4C"/>
    <w:rsid w:val="00847BF0"/>
    <w:rsid w:val="00860225"/>
    <w:rsid w:val="0086779F"/>
    <w:rsid w:val="00871158"/>
    <w:rsid w:val="008718B9"/>
    <w:rsid w:val="00891C21"/>
    <w:rsid w:val="00895B14"/>
    <w:rsid w:val="008B301A"/>
    <w:rsid w:val="008B4458"/>
    <w:rsid w:val="008C0AC7"/>
    <w:rsid w:val="008C3D51"/>
    <w:rsid w:val="008D166E"/>
    <w:rsid w:val="008D3D6F"/>
    <w:rsid w:val="008D49FD"/>
    <w:rsid w:val="008D4D7F"/>
    <w:rsid w:val="00925870"/>
    <w:rsid w:val="00936989"/>
    <w:rsid w:val="00937596"/>
    <w:rsid w:val="009407F5"/>
    <w:rsid w:val="00941CB3"/>
    <w:rsid w:val="00945192"/>
    <w:rsid w:val="009536F7"/>
    <w:rsid w:val="009565B2"/>
    <w:rsid w:val="00966DF5"/>
    <w:rsid w:val="009823E7"/>
    <w:rsid w:val="00990BA9"/>
    <w:rsid w:val="009918AA"/>
    <w:rsid w:val="00991A13"/>
    <w:rsid w:val="00992C05"/>
    <w:rsid w:val="009A1C14"/>
    <w:rsid w:val="009A4920"/>
    <w:rsid w:val="009A7A38"/>
    <w:rsid w:val="009B69C1"/>
    <w:rsid w:val="009C28D7"/>
    <w:rsid w:val="009D1180"/>
    <w:rsid w:val="009D5B95"/>
    <w:rsid w:val="009E6EB3"/>
    <w:rsid w:val="009E73A6"/>
    <w:rsid w:val="009F5C91"/>
    <w:rsid w:val="009F705B"/>
    <w:rsid w:val="009F75F8"/>
    <w:rsid w:val="00A01903"/>
    <w:rsid w:val="00A15F02"/>
    <w:rsid w:val="00A3073C"/>
    <w:rsid w:val="00A3164E"/>
    <w:rsid w:val="00A319AD"/>
    <w:rsid w:val="00A36883"/>
    <w:rsid w:val="00A37C50"/>
    <w:rsid w:val="00A404EA"/>
    <w:rsid w:val="00A453C2"/>
    <w:rsid w:val="00A53808"/>
    <w:rsid w:val="00A61205"/>
    <w:rsid w:val="00A825C4"/>
    <w:rsid w:val="00A85912"/>
    <w:rsid w:val="00A87AE5"/>
    <w:rsid w:val="00AA0396"/>
    <w:rsid w:val="00AA28CF"/>
    <w:rsid w:val="00AB3A43"/>
    <w:rsid w:val="00AB46F8"/>
    <w:rsid w:val="00AB5656"/>
    <w:rsid w:val="00AC147E"/>
    <w:rsid w:val="00AD4489"/>
    <w:rsid w:val="00AE01A1"/>
    <w:rsid w:val="00AE12DD"/>
    <w:rsid w:val="00AE49B2"/>
    <w:rsid w:val="00B01BE7"/>
    <w:rsid w:val="00B04003"/>
    <w:rsid w:val="00B06C9B"/>
    <w:rsid w:val="00B15EF6"/>
    <w:rsid w:val="00B2093A"/>
    <w:rsid w:val="00B225ED"/>
    <w:rsid w:val="00B352D4"/>
    <w:rsid w:val="00B4600D"/>
    <w:rsid w:val="00B53E5A"/>
    <w:rsid w:val="00B55E7A"/>
    <w:rsid w:val="00B61FD7"/>
    <w:rsid w:val="00B64FAA"/>
    <w:rsid w:val="00B71F39"/>
    <w:rsid w:val="00B73746"/>
    <w:rsid w:val="00B7529B"/>
    <w:rsid w:val="00BA3FBA"/>
    <w:rsid w:val="00BA52DD"/>
    <w:rsid w:val="00BB21A2"/>
    <w:rsid w:val="00BC0546"/>
    <w:rsid w:val="00BD40BA"/>
    <w:rsid w:val="00BD6CF7"/>
    <w:rsid w:val="00BE0747"/>
    <w:rsid w:val="00BE2AC7"/>
    <w:rsid w:val="00BE62BD"/>
    <w:rsid w:val="00BF1AE2"/>
    <w:rsid w:val="00C112CD"/>
    <w:rsid w:val="00C15431"/>
    <w:rsid w:val="00C251CC"/>
    <w:rsid w:val="00C31DC8"/>
    <w:rsid w:val="00C33269"/>
    <w:rsid w:val="00C35D63"/>
    <w:rsid w:val="00C5263F"/>
    <w:rsid w:val="00C530BC"/>
    <w:rsid w:val="00C5366F"/>
    <w:rsid w:val="00C54FF5"/>
    <w:rsid w:val="00C56FE9"/>
    <w:rsid w:val="00C671A7"/>
    <w:rsid w:val="00C72204"/>
    <w:rsid w:val="00C8003D"/>
    <w:rsid w:val="00CA3D5D"/>
    <w:rsid w:val="00CA76A4"/>
    <w:rsid w:val="00CB3039"/>
    <w:rsid w:val="00CF2F2D"/>
    <w:rsid w:val="00CF6C66"/>
    <w:rsid w:val="00CF6FF7"/>
    <w:rsid w:val="00D016F3"/>
    <w:rsid w:val="00D025E8"/>
    <w:rsid w:val="00D02CE4"/>
    <w:rsid w:val="00D044D8"/>
    <w:rsid w:val="00D13994"/>
    <w:rsid w:val="00D2523F"/>
    <w:rsid w:val="00D27C57"/>
    <w:rsid w:val="00D3046E"/>
    <w:rsid w:val="00D338F5"/>
    <w:rsid w:val="00D350C6"/>
    <w:rsid w:val="00D60ED4"/>
    <w:rsid w:val="00D615AB"/>
    <w:rsid w:val="00D62121"/>
    <w:rsid w:val="00D76EAF"/>
    <w:rsid w:val="00D94012"/>
    <w:rsid w:val="00DA5826"/>
    <w:rsid w:val="00DB14FA"/>
    <w:rsid w:val="00DB2C33"/>
    <w:rsid w:val="00DC395F"/>
    <w:rsid w:val="00DC4FF0"/>
    <w:rsid w:val="00DC5E8B"/>
    <w:rsid w:val="00DC7F90"/>
    <w:rsid w:val="00DD140B"/>
    <w:rsid w:val="00DD721A"/>
    <w:rsid w:val="00E00DB4"/>
    <w:rsid w:val="00E07593"/>
    <w:rsid w:val="00E24753"/>
    <w:rsid w:val="00E25AEC"/>
    <w:rsid w:val="00E33050"/>
    <w:rsid w:val="00E44508"/>
    <w:rsid w:val="00E44A98"/>
    <w:rsid w:val="00E51302"/>
    <w:rsid w:val="00E51589"/>
    <w:rsid w:val="00E53726"/>
    <w:rsid w:val="00E57B36"/>
    <w:rsid w:val="00E629D4"/>
    <w:rsid w:val="00E62F01"/>
    <w:rsid w:val="00E66521"/>
    <w:rsid w:val="00E70655"/>
    <w:rsid w:val="00E73437"/>
    <w:rsid w:val="00E80CDB"/>
    <w:rsid w:val="00E86091"/>
    <w:rsid w:val="00EB53B4"/>
    <w:rsid w:val="00EB5617"/>
    <w:rsid w:val="00EC3FC7"/>
    <w:rsid w:val="00EC4157"/>
    <w:rsid w:val="00ED71E3"/>
    <w:rsid w:val="00EE4ABD"/>
    <w:rsid w:val="00EE71BF"/>
    <w:rsid w:val="00EE7711"/>
    <w:rsid w:val="00EF13D6"/>
    <w:rsid w:val="00F0185B"/>
    <w:rsid w:val="00F04224"/>
    <w:rsid w:val="00F063C4"/>
    <w:rsid w:val="00F07C21"/>
    <w:rsid w:val="00F100B3"/>
    <w:rsid w:val="00F12FC0"/>
    <w:rsid w:val="00F21932"/>
    <w:rsid w:val="00F23B5A"/>
    <w:rsid w:val="00F277A9"/>
    <w:rsid w:val="00F565B6"/>
    <w:rsid w:val="00F658A5"/>
    <w:rsid w:val="00F70324"/>
    <w:rsid w:val="00F711EF"/>
    <w:rsid w:val="00F73C9F"/>
    <w:rsid w:val="00F823FE"/>
    <w:rsid w:val="00F914AE"/>
    <w:rsid w:val="00FA17CB"/>
    <w:rsid w:val="00FA5CC5"/>
    <w:rsid w:val="00FA6F8F"/>
    <w:rsid w:val="00FB07E9"/>
    <w:rsid w:val="00FC3D3D"/>
    <w:rsid w:val="00FE2ED5"/>
    <w:rsid w:val="00FF0FDA"/>
    <w:rsid w:val="00FF4265"/>
    <w:rsid w:val="00FF74AC"/>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DD"/>
  </w:style>
  <w:style w:type="paragraph" w:styleId="Heading1">
    <w:name w:val="heading 1"/>
    <w:basedOn w:val="Normal"/>
    <w:next w:val="Normal"/>
    <w:link w:val="Heading1Char"/>
    <w:uiPriority w:val="9"/>
    <w:qFormat/>
    <w:rsid w:val="004C49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1BF"/>
  </w:style>
  <w:style w:type="paragraph" w:styleId="Footer">
    <w:name w:val="footer"/>
    <w:basedOn w:val="Normal"/>
    <w:link w:val="FooterChar"/>
    <w:uiPriority w:val="99"/>
    <w:unhideWhenUsed/>
    <w:rsid w:val="00EE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1BF"/>
  </w:style>
  <w:style w:type="paragraph" w:styleId="FootnoteText">
    <w:name w:val="footnote text"/>
    <w:basedOn w:val="Normal"/>
    <w:link w:val="FootnoteTextChar"/>
    <w:uiPriority w:val="99"/>
    <w:semiHidden/>
    <w:unhideWhenUsed/>
    <w:rsid w:val="001F4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CA4"/>
    <w:rPr>
      <w:rFonts w:eastAsiaTheme="minorEastAsia"/>
      <w:sz w:val="20"/>
      <w:szCs w:val="20"/>
      <w:lang w:val="en-GB" w:eastAsia="en-GB"/>
    </w:rPr>
  </w:style>
  <w:style w:type="character" w:styleId="FootnoteReference">
    <w:name w:val="footnote reference"/>
    <w:basedOn w:val="DefaultParagraphFont"/>
    <w:uiPriority w:val="99"/>
    <w:semiHidden/>
    <w:unhideWhenUsed/>
    <w:rsid w:val="001F4CA4"/>
    <w:rPr>
      <w:vertAlign w:val="superscript"/>
    </w:rPr>
  </w:style>
  <w:style w:type="character" w:styleId="Hyperlink">
    <w:name w:val="Hyperlink"/>
    <w:basedOn w:val="DefaultParagraphFont"/>
    <w:uiPriority w:val="99"/>
    <w:unhideWhenUsed/>
    <w:rsid w:val="001F4CA4"/>
    <w:rPr>
      <w:color w:val="0000FF" w:themeColor="hyperlink"/>
      <w:u w:val="single"/>
    </w:rPr>
  </w:style>
  <w:style w:type="paragraph" w:styleId="BalloonText">
    <w:name w:val="Balloon Text"/>
    <w:basedOn w:val="Normal"/>
    <w:link w:val="BalloonTextChar"/>
    <w:uiPriority w:val="99"/>
    <w:semiHidden/>
    <w:unhideWhenUsed/>
    <w:rsid w:val="005A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58"/>
    <w:rPr>
      <w:rFonts w:ascii="Tahoma" w:hAnsi="Tahoma" w:cs="Tahoma"/>
      <w:sz w:val="16"/>
      <w:szCs w:val="16"/>
    </w:rPr>
  </w:style>
  <w:style w:type="paragraph" w:customStyle="1" w:styleId="Default">
    <w:name w:val="Default"/>
    <w:rsid w:val="00497BE4"/>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75101B"/>
    <w:pPr>
      <w:ind w:left="720"/>
      <w:contextualSpacing/>
    </w:pPr>
  </w:style>
  <w:style w:type="character" w:styleId="CommentReference">
    <w:name w:val="annotation reference"/>
    <w:basedOn w:val="DefaultParagraphFont"/>
    <w:uiPriority w:val="99"/>
    <w:semiHidden/>
    <w:unhideWhenUsed/>
    <w:rsid w:val="009F75F8"/>
    <w:rPr>
      <w:sz w:val="16"/>
      <w:szCs w:val="16"/>
    </w:rPr>
  </w:style>
  <w:style w:type="paragraph" w:styleId="CommentText">
    <w:name w:val="annotation text"/>
    <w:basedOn w:val="Normal"/>
    <w:link w:val="CommentTextChar"/>
    <w:uiPriority w:val="99"/>
    <w:semiHidden/>
    <w:unhideWhenUsed/>
    <w:rsid w:val="009F75F8"/>
    <w:pPr>
      <w:spacing w:line="240" w:lineRule="auto"/>
    </w:pPr>
    <w:rPr>
      <w:sz w:val="20"/>
      <w:szCs w:val="20"/>
    </w:rPr>
  </w:style>
  <w:style w:type="character" w:customStyle="1" w:styleId="CommentTextChar">
    <w:name w:val="Comment Text Char"/>
    <w:basedOn w:val="DefaultParagraphFont"/>
    <w:link w:val="CommentText"/>
    <w:uiPriority w:val="99"/>
    <w:semiHidden/>
    <w:rsid w:val="009F75F8"/>
    <w:rPr>
      <w:sz w:val="20"/>
      <w:szCs w:val="20"/>
    </w:rPr>
  </w:style>
  <w:style w:type="paragraph" w:styleId="CommentSubject">
    <w:name w:val="annotation subject"/>
    <w:basedOn w:val="CommentText"/>
    <w:next w:val="CommentText"/>
    <w:link w:val="CommentSubjectChar"/>
    <w:uiPriority w:val="99"/>
    <w:semiHidden/>
    <w:unhideWhenUsed/>
    <w:rsid w:val="009F75F8"/>
    <w:rPr>
      <w:b/>
      <w:bCs/>
    </w:rPr>
  </w:style>
  <w:style w:type="character" w:customStyle="1" w:styleId="CommentSubjectChar">
    <w:name w:val="Comment Subject Char"/>
    <w:basedOn w:val="CommentTextChar"/>
    <w:link w:val="CommentSubject"/>
    <w:uiPriority w:val="99"/>
    <w:semiHidden/>
    <w:rsid w:val="009F75F8"/>
    <w:rPr>
      <w:b/>
      <w:bCs/>
      <w:sz w:val="20"/>
      <w:szCs w:val="20"/>
    </w:rPr>
  </w:style>
  <w:style w:type="paragraph" w:styleId="Revision">
    <w:name w:val="Revision"/>
    <w:hidden/>
    <w:uiPriority w:val="99"/>
    <w:semiHidden/>
    <w:rsid w:val="009A1C14"/>
    <w:pPr>
      <w:spacing w:after="0" w:line="240" w:lineRule="auto"/>
    </w:pPr>
  </w:style>
  <w:style w:type="character" w:styleId="FollowedHyperlink">
    <w:name w:val="FollowedHyperlink"/>
    <w:basedOn w:val="DefaultParagraphFont"/>
    <w:uiPriority w:val="99"/>
    <w:semiHidden/>
    <w:unhideWhenUsed/>
    <w:rsid w:val="00030280"/>
    <w:rPr>
      <w:color w:val="800080" w:themeColor="followedHyperlink"/>
      <w:u w:val="single"/>
    </w:rPr>
  </w:style>
  <w:style w:type="character" w:customStyle="1" w:styleId="Heading1Char">
    <w:name w:val="Heading 1 Char"/>
    <w:basedOn w:val="DefaultParagraphFont"/>
    <w:link w:val="Heading1"/>
    <w:uiPriority w:val="9"/>
    <w:rsid w:val="004C4919"/>
    <w:rPr>
      <w:rFonts w:asciiTheme="majorHAnsi" w:eastAsiaTheme="majorEastAsia" w:hAnsiTheme="majorHAnsi" w:cstheme="majorBidi"/>
      <w:color w:val="365F91" w:themeColor="accent1" w:themeShade="BF"/>
      <w:sz w:val="32"/>
      <w:szCs w:val="32"/>
    </w:rPr>
  </w:style>
  <w:style w:type="paragraph" w:customStyle="1" w:styleId="TableheadingrowsAgency">
    <w:name w:val="Table heading rows (Agency)"/>
    <w:basedOn w:val="Normal"/>
    <w:semiHidden/>
    <w:rsid w:val="00B7529B"/>
    <w:pPr>
      <w:keepNext/>
      <w:spacing w:after="140" w:line="280" w:lineRule="atLeast"/>
    </w:pPr>
    <w:rPr>
      <w:rFonts w:ascii="Verdana" w:eastAsia="Times New Roman" w:hAnsi="Verdana" w:cs="Verdana"/>
      <w:b/>
      <w:sz w:val="18"/>
      <w:szCs w:val="18"/>
    </w:rPr>
  </w:style>
  <w:style w:type="paragraph" w:customStyle="1" w:styleId="TabletextrowsAgency">
    <w:name w:val="Table text rows (Agency)"/>
    <w:basedOn w:val="Normal"/>
    <w:rsid w:val="00B7529B"/>
    <w:pPr>
      <w:spacing w:after="0" w:line="280" w:lineRule="exact"/>
    </w:pPr>
    <w:rPr>
      <w:rFonts w:ascii="Verdana" w:eastAsia="Times New Roman" w:hAnsi="Verdana" w:cs="Verdan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DD"/>
  </w:style>
  <w:style w:type="paragraph" w:styleId="Heading1">
    <w:name w:val="heading 1"/>
    <w:basedOn w:val="Normal"/>
    <w:next w:val="Normal"/>
    <w:link w:val="Heading1Char"/>
    <w:uiPriority w:val="9"/>
    <w:qFormat/>
    <w:rsid w:val="004C49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1BF"/>
  </w:style>
  <w:style w:type="paragraph" w:styleId="Footer">
    <w:name w:val="footer"/>
    <w:basedOn w:val="Normal"/>
    <w:link w:val="FooterChar"/>
    <w:uiPriority w:val="99"/>
    <w:unhideWhenUsed/>
    <w:rsid w:val="00EE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1BF"/>
  </w:style>
  <w:style w:type="paragraph" w:styleId="FootnoteText">
    <w:name w:val="footnote text"/>
    <w:basedOn w:val="Normal"/>
    <w:link w:val="FootnoteTextChar"/>
    <w:uiPriority w:val="99"/>
    <w:semiHidden/>
    <w:unhideWhenUsed/>
    <w:rsid w:val="001F4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CA4"/>
    <w:rPr>
      <w:rFonts w:eastAsiaTheme="minorEastAsia"/>
      <w:sz w:val="20"/>
      <w:szCs w:val="20"/>
      <w:lang w:val="en-GB" w:eastAsia="en-GB"/>
    </w:rPr>
  </w:style>
  <w:style w:type="character" w:styleId="FootnoteReference">
    <w:name w:val="footnote reference"/>
    <w:basedOn w:val="DefaultParagraphFont"/>
    <w:uiPriority w:val="99"/>
    <w:semiHidden/>
    <w:unhideWhenUsed/>
    <w:rsid w:val="001F4CA4"/>
    <w:rPr>
      <w:vertAlign w:val="superscript"/>
    </w:rPr>
  </w:style>
  <w:style w:type="character" w:styleId="Hyperlink">
    <w:name w:val="Hyperlink"/>
    <w:basedOn w:val="DefaultParagraphFont"/>
    <w:uiPriority w:val="99"/>
    <w:unhideWhenUsed/>
    <w:rsid w:val="001F4CA4"/>
    <w:rPr>
      <w:color w:val="0000FF" w:themeColor="hyperlink"/>
      <w:u w:val="single"/>
    </w:rPr>
  </w:style>
  <w:style w:type="paragraph" w:styleId="BalloonText">
    <w:name w:val="Balloon Text"/>
    <w:basedOn w:val="Normal"/>
    <w:link w:val="BalloonTextChar"/>
    <w:uiPriority w:val="99"/>
    <w:semiHidden/>
    <w:unhideWhenUsed/>
    <w:rsid w:val="005A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58"/>
    <w:rPr>
      <w:rFonts w:ascii="Tahoma" w:hAnsi="Tahoma" w:cs="Tahoma"/>
      <w:sz w:val="16"/>
      <w:szCs w:val="16"/>
    </w:rPr>
  </w:style>
  <w:style w:type="paragraph" w:customStyle="1" w:styleId="Default">
    <w:name w:val="Default"/>
    <w:rsid w:val="00497BE4"/>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75101B"/>
    <w:pPr>
      <w:ind w:left="720"/>
      <w:contextualSpacing/>
    </w:pPr>
  </w:style>
  <w:style w:type="character" w:styleId="CommentReference">
    <w:name w:val="annotation reference"/>
    <w:basedOn w:val="DefaultParagraphFont"/>
    <w:uiPriority w:val="99"/>
    <w:semiHidden/>
    <w:unhideWhenUsed/>
    <w:rsid w:val="009F75F8"/>
    <w:rPr>
      <w:sz w:val="16"/>
      <w:szCs w:val="16"/>
    </w:rPr>
  </w:style>
  <w:style w:type="paragraph" w:styleId="CommentText">
    <w:name w:val="annotation text"/>
    <w:basedOn w:val="Normal"/>
    <w:link w:val="CommentTextChar"/>
    <w:uiPriority w:val="99"/>
    <w:semiHidden/>
    <w:unhideWhenUsed/>
    <w:rsid w:val="009F75F8"/>
    <w:pPr>
      <w:spacing w:line="240" w:lineRule="auto"/>
    </w:pPr>
    <w:rPr>
      <w:sz w:val="20"/>
      <w:szCs w:val="20"/>
    </w:rPr>
  </w:style>
  <w:style w:type="character" w:customStyle="1" w:styleId="CommentTextChar">
    <w:name w:val="Comment Text Char"/>
    <w:basedOn w:val="DefaultParagraphFont"/>
    <w:link w:val="CommentText"/>
    <w:uiPriority w:val="99"/>
    <w:semiHidden/>
    <w:rsid w:val="009F75F8"/>
    <w:rPr>
      <w:sz w:val="20"/>
      <w:szCs w:val="20"/>
    </w:rPr>
  </w:style>
  <w:style w:type="paragraph" w:styleId="CommentSubject">
    <w:name w:val="annotation subject"/>
    <w:basedOn w:val="CommentText"/>
    <w:next w:val="CommentText"/>
    <w:link w:val="CommentSubjectChar"/>
    <w:uiPriority w:val="99"/>
    <w:semiHidden/>
    <w:unhideWhenUsed/>
    <w:rsid w:val="009F75F8"/>
    <w:rPr>
      <w:b/>
      <w:bCs/>
    </w:rPr>
  </w:style>
  <w:style w:type="character" w:customStyle="1" w:styleId="CommentSubjectChar">
    <w:name w:val="Comment Subject Char"/>
    <w:basedOn w:val="CommentTextChar"/>
    <w:link w:val="CommentSubject"/>
    <w:uiPriority w:val="99"/>
    <w:semiHidden/>
    <w:rsid w:val="009F75F8"/>
    <w:rPr>
      <w:b/>
      <w:bCs/>
      <w:sz w:val="20"/>
      <w:szCs w:val="20"/>
    </w:rPr>
  </w:style>
  <w:style w:type="paragraph" w:styleId="Revision">
    <w:name w:val="Revision"/>
    <w:hidden/>
    <w:uiPriority w:val="99"/>
    <w:semiHidden/>
    <w:rsid w:val="009A1C14"/>
    <w:pPr>
      <w:spacing w:after="0" w:line="240" w:lineRule="auto"/>
    </w:pPr>
  </w:style>
  <w:style w:type="character" w:styleId="FollowedHyperlink">
    <w:name w:val="FollowedHyperlink"/>
    <w:basedOn w:val="DefaultParagraphFont"/>
    <w:uiPriority w:val="99"/>
    <w:semiHidden/>
    <w:unhideWhenUsed/>
    <w:rsid w:val="00030280"/>
    <w:rPr>
      <w:color w:val="800080" w:themeColor="followedHyperlink"/>
      <w:u w:val="single"/>
    </w:rPr>
  </w:style>
  <w:style w:type="character" w:customStyle="1" w:styleId="Heading1Char">
    <w:name w:val="Heading 1 Char"/>
    <w:basedOn w:val="DefaultParagraphFont"/>
    <w:link w:val="Heading1"/>
    <w:uiPriority w:val="9"/>
    <w:rsid w:val="004C4919"/>
    <w:rPr>
      <w:rFonts w:asciiTheme="majorHAnsi" w:eastAsiaTheme="majorEastAsia" w:hAnsiTheme="majorHAnsi" w:cstheme="majorBidi"/>
      <w:color w:val="365F91" w:themeColor="accent1" w:themeShade="BF"/>
      <w:sz w:val="32"/>
      <w:szCs w:val="32"/>
    </w:rPr>
  </w:style>
  <w:style w:type="paragraph" w:customStyle="1" w:styleId="TableheadingrowsAgency">
    <w:name w:val="Table heading rows (Agency)"/>
    <w:basedOn w:val="Normal"/>
    <w:semiHidden/>
    <w:rsid w:val="00B7529B"/>
    <w:pPr>
      <w:keepNext/>
      <w:spacing w:after="140" w:line="280" w:lineRule="atLeast"/>
    </w:pPr>
    <w:rPr>
      <w:rFonts w:ascii="Verdana" w:eastAsia="Times New Roman" w:hAnsi="Verdana" w:cs="Verdana"/>
      <w:b/>
      <w:sz w:val="18"/>
      <w:szCs w:val="18"/>
    </w:rPr>
  </w:style>
  <w:style w:type="paragraph" w:customStyle="1" w:styleId="TabletextrowsAgency">
    <w:name w:val="Table text rows (Agency)"/>
    <w:basedOn w:val="Normal"/>
    <w:rsid w:val="00B7529B"/>
    <w:pPr>
      <w:spacing w:after="0" w:line="280" w:lineRule="exact"/>
    </w:pPr>
    <w:rPr>
      <w:rFonts w:ascii="Verdana" w:eastAsia="Times New Roman"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2B1C-74FE-4006-B9DA-869DA38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5326</Characters>
  <Application>Microsoft Office Word</Application>
  <DocSecurity>4</DocSecurity>
  <Lines>166</Lines>
  <Paragraphs>90</Paragraphs>
  <ScaleCrop>false</ScaleCrop>
  <HeadingPairs>
    <vt:vector size="2" baseType="variant">
      <vt:variant>
        <vt:lpstr>Titel</vt:lpstr>
      </vt:variant>
      <vt:variant>
        <vt:i4>1</vt:i4>
      </vt:variant>
    </vt:vector>
  </HeadingPairs>
  <TitlesOfParts>
    <vt:vector size="1" baseType="lpstr">
      <vt:lpstr/>
    </vt:vector>
  </TitlesOfParts>
  <Company>Celgene</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Lugdivine Le Dez</dc:creator>
  <cp:lastModifiedBy>VERBEIREN Isabelle (SANCO)</cp:lastModifiedBy>
  <cp:revision>2</cp:revision>
  <cp:lastPrinted>2016-09-22T12:16:00Z</cp:lastPrinted>
  <dcterms:created xsi:type="dcterms:W3CDTF">2016-10-04T12:40:00Z</dcterms:created>
  <dcterms:modified xsi:type="dcterms:W3CDTF">2016-10-04T12:40:00Z</dcterms:modified>
</cp:coreProperties>
</file>