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D0290" w14:textId="68E324EF" w:rsidR="0067610E" w:rsidRDefault="00E25857">
      <w:pPr>
        <w:pStyle w:val="RefAgency"/>
        <w:tabs>
          <w:tab w:val="left" w:pos="1277"/>
        </w:tabs>
      </w:pPr>
      <w:bookmarkStart w:id="0" w:name="_GoBack"/>
      <w:bookmarkEnd w:id="0"/>
      <w:r>
        <w:t>24</w:t>
      </w:r>
      <w:r w:rsidRPr="00E25857">
        <w:rPr>
          <w:vertAlign w:val="superscript"/>
        </w:rPr>
        <w:t>th</w:t>
      </w:r>
      <w:r>
        <w:t xml:space="preserve"> Sept 2016</w:t>
      </w:r>
    </w:p>
    <w:p w14:paraId="52B83291" w14:textId="77777777" w:rsidR="0067610E" w:rsidRDefault="0067610E">
      <w:pPr>
        <w:pStyle w:val="RefAgency"/>
        <w:tabs>
          <w:tab w:val="left" w:pos="1277"/>
        </w:tabs>
      </w:pPr>
    </w:p>
    <w:p w14:paraId="7F78C003" w14:textId="77777777" w:rsidR="0067610E" w:rsidRPr="00B822FC" w:rsidRDefault="0067610E">
      <w:pPr>
        <w:pStyle w:val="RefAgency"/>
        <w:tabs>
          <w:tab w:val="left" w:pos="1277"/>
        </w:tabs>
      </w:pPr>
    </w:p>
    <w:p w14:paraId="566B1D0A" w14:textId="356E6B53" w:rsidR="0067610E" w:rsidRDefault="0067610E">
      <w:pPr>
        <w:pStyle w:val="DoctitleAgency"/>
      </w:pPr>
      <w:bookmarkStart w:id="1" w:name="Head"/>
      <w:bookmarkEnd w:id="1"/>
      <w:r w:rsidRPr="00F308FD">
        <w:t>Submission of comments on</w:t>
      </w:r>
      <w:r>
        <w:t xml:space="preserve"> </w:t>
      </w:r>
      <w:r w:rsidR="002A4BE3">
        <w:t xml:space="preserve">'Good Manufacturing Practice for Advanced Therapy Medicinal Products' </w:t>
      </w:r>
      <w:r>
        <w:t xml:space="preserve"> (</w:t>
      </w:r>
      <w:r>
        <w:rPr>
          <w:szCs w:val="17"/>
        </w:rPr>
        <w:t>EMA/…/…</w:t>
      </w:r>
      <w:r>
        <w:t>)</w:t>
      </w:r>
    </w:p>
    <w:p w14:paraId="6645DC7A" w14:textId="77777777" w:rsidR="0067610E" w:rsidRDefault="0067610E">
      <w:pPr>
        <w:pStyle w:val="DocsubtitleAgency"/>
      </w:pPr>
    </w:p>
    <w:p w14:paraId="212817FA" w14:textId="77777777" w:rsidR="0067610E" w:rsidRPr="00B822FC" w:rsidRDefault="0067610E">
      <w:pPr>
        <w:pStyle w:val="No-TOCheadingAgency"/>
      </w:pPr>
      <w:r w:rsidRPr="00B822FC">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67610E" w:rsidRPr="00FC77C1" w14:paraId="3C5B1FBE" w14:textId="77777777" w:rsidTr="0067610E">
        <w:trPr>
          <w:tblHeader/>
        </w:trPr>
        <w:tc>
          <w:tcPr>
            <w:tcW w:w="5000" w:type="pct"/>
            <w:tcBorders>
              <w:top w:val="nil"/>
              <w:left w:val="nil"/>
              <w:bottom w:val="nil"/>
              <w:right w:val="nil"/>
              <w:tl2br w:val="nil"/>
              <w:tr2bl w:val="nil"/>
            </w:tcBorders>
            <w:shd w:val="clear" w:color="auto" w:fill="003399"/>
          </w:tcPr>
          <w:p w14:paraId="1A2C9BA1" w14:textId="77777777" w:rsidR="0067610E" w:rsidRPr="00FC77C1" w:rsidRDefault="0067610E">
            <w:pPr>
              <w:pStyle w:val="TableheadingrowsAgency"/>
              <w:rPr>
                <w:b w:val="0"/>
              </w:rPr>
            </w:pPr>
            <w:r>
              <w:rPr>
                <w:b w:val="0"/>
              </w:rPr>
              <w:t>Name of o</w:t>
            </w:r>
            <w:r w:rsidRPr="00FC77C1">
              <w:rPr>
                <w:b w:val="0"/>
              </w:rPr>
              <w:t>rganisation or individual</w:t>
            </w:r>
          </w:p>
        </w:tc>
      </w:tr>
      <w:tr w:rsidR="0067610E" w:rsidRPr="00B822FC" w14:paraId="65A89282" w14:textId="77777777" w:rsidTr="0067610E">
        <w:tc>
          <w:tcPr>
            <w:tcW w:w="5000" w:type="pct"/>
            <w:shd w:val="clear" w:color="auto" w:fill="E1E3F2"/>
          </w:tcPr>
          <w:p w14:paraId="17B89206" w14:textId="256D3D27" w:rsidR="002A4BE3" w:rsidRPr="002A6A38" w:rsidRDefault="002A4BE3">
            <w:pPr>
              <w:pStyle w:val="TabletextrowsAgency"/>
              <w:rPr>
                <w:rFonts w:cs="Arial"/>
                <w:b/>
                <w:kern w:val="32"/>
                <w:sz w:val="27"/>
                <w:szCs w:val="27"/>
                <w:lang w:eastAsia="en-GB"/>
              </w:rPr>
            </w:pPr>
            <w:r w:rsidRPr="002A6A38">
              <w:rPr>
                <w:rFonts w:cs="Arial"/>
                <w:b/>
                <w:kern w:val="32"/>
                <w:sz w:val="27"/>
                <w:szCs w:val="27"/>
                <w:lang w:eastAsia="en-GB"/>
              </w:rPr>
              <w:t xml:space="preserve">Cell Medica </w:t>
            </w:r>
          </w:p>
          <w:p w14:paraId="6ACFBEAF" w14:textId="49E1DE0A" w:rsidR="002A6A38" w:rsidRDefault="002A6A38">
            <w:pPr>
              <w:pStyle w:val="TabletextrowsAgency"/>
            </w:pPr>
          </w:p>
          <w:p w14:paraId="79100251" w14:textId="0E062C12" w:rsidR="0025152A" w:rsidRDefault="0025152A">
            <w:pPr>
              <w:pStyle w:val="TabletextrowsAgency"/>
            </w:pPr>
            <w:r>
              <w:t xml:space="preserve">Cell Medica is considered an </w:t>
            </w:r>
          </w:p>
          <w:p w14:paraId="6C38E0E0" w14:textId="77777777" w:rsidR="0025152A" w:rsidRDefault="0025152A">
            <w:pPr>
              <w:pStyle w:val="TabletextrowsAgency"/>
            </w:pPr>
          </w:p>
          <w:p w14:paraId="5FE1A078" w14:textId="75199DFF" w:rsidR="002A6A38" w:rsidRDefault="002A4BE3" w:rsidP="002A4BE3">
            <w:pPr>
              <w:pStyle w:val="TabletextrowsAgency"/>
            </w:pPr>
            <w:r w:rsidRPr="003F33A7">
              <w:rPr>
                <w:b/>
              </w:rPr>
              <w:t>Registered Address</w:t>
            </w:r>
            <w:r w:rsidR="002A6A38">
              <w:rPr>
                <w:b/>
              </w:rPr>
              <w:t>es</w:t>
            </w:r>
            <w:r>
              <w:t xml:space="preserve"> : </w:t>
            </w:r>
          </w:p>
          <w:p w14:paraId="7348193E" w14:textId="77777777" w:rsidR="002A6A38" w:rsidRDefault="002A6A38" w:rsidP="002A4BE3">
            <w:pPr>
              <w:pStyle w:val="TabletextrowsAgency"/>
            </w:pPr>
          </w:p>
          <w:p w14:paraId="416D82B5" w14:textId="6FB7A529" w:rsidR="002A4BE3" w:rsidRDefault="002A4BE3" w:rsidP="002A4BE3">
            <w:pPr>
              <w:pStyle w:val="TabletextrowsAgency"/>
            </w:pPr>
            <w:r>
              <w:t>Cell Medica Ltd</w:t>
            </w:r>
          </w:p>
          <w:p w14:paraId="00370E2D" w14:textId="63063574" w:rsidR="0067610E" w:rsidRDefault="002A4BE3" w:rsidP="002A4BE3">
            <w:pPr>
              <w:jc w:val="both"/>
            </w:pPr>
            <w:r w:rsidRPr="000F402C">
              <w:t>1 Canal Side Studios, 8-14 St Pancras Way, London NW1 0QG</w:t>
            </w:r>
            <w:r>
              <w:t xml:space="preserve"> </w:t>
            </w:r>
          </w:p>
          <w:p w14:paraId="003D830E" w14:textId="330B3350" w:rsidR="002A6A38" w:rsidRDefault="002A6A38" w:rsidP="002A4BE3">
            <w:pPr>
              <w:jc w:val="both"/>
            </w:pPr>
          </w:p>
          <w:p w14:paraId="4FBC60C0" w14:textId="4204F417" w:rsidR="002A6A38" w:rsidRDefault="002A6A38" w:rsidP="002A4BE3">
            <w:pPr>
              <w:jc w:val="both"/>
            </w:pPr>
            <w:r>
              <w:t>Cell Medica GmbH</w:t>
            </w:r>
          </w:p>
          <w:p w14:paraId="6676EE39" w14:textId="04AC4F1F" w:rsidR="002A6A38" w:rsidRDefault="002A6A38" w:rsidP="002A6A38">
            <w:pPr>
              <w:pStyle w:val="HTMLAddress"/>
              <w:rPr>
                <w:i w:val="0"/>
                <w:iCs w:val="0"/>
              </w:rPr>
            </w:pPr>
            <w:r w:rsidRPr="002A6A38">
              <w:rPr>
                <w:i w:val="0"/>
                <w:iCs w:val="0"/>
              </w:rPr>
              <w:t>Robert-Rössle-Straße 10</w:t>
            </w:r>
            <w:r>
              <w:rPr>
                <w:i w:val="0"/>
                <w:iCs w:val="0"/>
              </w:rPr>
              <w:t xml:space="preserve">, </w:t>
            </w:r>
            <w:r w:rsidRPr="002A6A38">
              <w:rPr>
                <w:i w:val="0"/>
                <w:iCs w:val="0"/>
              </w:rPr>
              <w:t>Haus 31.1</w:t>
            </w:r>
            <w:r>
              <w:rPr>
                <w:i w:val="0"/>
                <w:iCs w:val="0"/>
              </w:rPr>
              <w:t xml:space="preserve">, </w:t>
            </w:r>
            <w:r w:rsidRPr="002A6A38">
              <w:rPr>
                <w:i w:val="0"/>
                <w:iCs w:val="0"/>
              </w:rPr>
              <w:t>13125 Berlin</w:t>
            </w:r>
          </w:p>
          <w:p w14:paraId="6163FEA0" w14:textId="542C19F7" w:rsidR="002A6A38" w:rsidRDefault="002A6A38" w:rsidP="002A6A38">
            <w:pPr>
              <w:pStyle w:val="HTMLAddress"/>
              <w:rPr>
                <w:i w:val="0"/>
                <w:iCs w:val="0"/>
              </w:rPr>
            </w:pPr>
          </w:p>
          <w:p w14:paraId="3AECEA67" w14:textId="22B1ED8E" w:rsidR="002A6A38" w:rsidRDefault="002A6A38" w:rsidP="002A6A38">
            <w:pPr>
              <w:pStyle w:val="HTMLAddress"/>
              <w:rPr>
                <w:i w:val="0"/>
                <w:iCs w:val="0"/>
              </w:rPr>
            </w:pPr>
            <w:r>
              <w:rPr>
                <w:i w:val="0"/>
                <w:iCs w:val="0"/>
              </w:rPr>
              <w:t>Cell Medica Inc</w:t>
            </w:r>
          </w:p>
          <w:p w14:paraId="233E71A6" w14:textId="69454207" w:rsidR="002A6A38" w:rsidRPr="002A6A38" w:rsidRDefault="002A6A38" w:rsidP="002A6A38">
            <w:pPr>
              <w:pStyle w:val="HTMLAddress"/>
              <w:rPr>
                <w:i w:val="0"/>
                <w:iCs w:val="0"/>
              </w:rPr>
            </w:pPr>
            <w:r w:rsidRPr="002A6A38">
              <w:rPr>
                <w:i w:val="0"/>
                <w:iCs w:val="0"/>
              </w:rPr>
              <w:t xml:space="preserve">7505 Fannin Street, Suite 200, Houston, TX 77054 </w:t>
            </w:r>
          </w:p>
          <w:p w14:paraId="0EDD94F7" w14:textId="6EBA6810" w:rsidR="002A6A38" w:rsidRPr="00B822FC" w:rsidRDefault="002A6A38" w:rsidP="002A4BE3">
            <w:pPr>
              <w:jc w:val="both"/>
            </w:pPr>
          </w:p>
        </w:tc>
      </w:tr>
    </w:tbl>
    <w:p w14:paraId="0F0969B5" w14:textId="77777777" w:rsidR="0067610E" w:rsidRDefault="0067610E">
      <w:pPr>
        <w:pStyle w:val="BodytextAgency"/>
      </w:pPr>
    </w:p>
    <w:p w14:paraId="77290E7B" w14:textId="77777777" w:rsidR="0067610E" w:rsidRPr="00561BA0" w:rsidRDefault="0067610E">
      <w:pPr>
        <w:pStyle w:val="BodytextAgency"/>
        <w:rPr>
          <w:i/>
        </w:rPr>
      </w:pPr>
      <w:r w:rsidRPr="00561BA0">
        <w:rPr>
          <w:i/>
        </w:rPr>
        <w:t>Please note that these comments and the identity of the sender will be published unless a specific justified objection is received.</w:t>
      </w:r>
    </w:p>
    <w:p w14:paraId="7D1D7AB1" w14:textId="77777777" w:rsidR="0067610E" w:rsidRPr="00561BA0" w:rsidRDefault="0067610E">
      <w:pPr>
        <w:pStyle w:val="BodytextAgency"/>
        <w:rPr>
          <w:i/>
        </w:rPr>
      </w:pPr>
      <w:r>
        <w:rPr>
          <w:i/>
        </w:rPr>
        <w:t>When completed, this form should be sent</w:t>
      </w:r>
      <w:r w:rsidRPr="00561BA0">
        <w:rPr>
          <w:i/>
        </w:rPr>
        <w:t xml:space="preserve"> to the European Medicines Agency</w:t>
      </w:r>
      <w:r>
        <w:rPr>
          <w:i/>
        </w:rPr>
        <w:t xml:space="preserve"> electronically, in Word format (not PDF</w:t>
      </w:r>
      <w:r w:rsidRPr="00561BA0">
        <w:rPr>
          <w:i/>
        </w:rPr>
        <w:t>)</w:t>
      </w:r>
      <w:r>
        <w:rPr>
          <w:i/>
        </w:rPr>
        <w:t>.</w:t>
      </w:r>
    </w:p>
    <w:p w14:paraId="6EF8DBCC" w14:textId="77777777" w:rsidR="0067610E" w:rsidRPr="00E43F9C" w:rsidRDefault="0067610E">
      <w:pPr>
        <w:pStyle w:val="BodytextAgency"/>
      </w:pPr>
    </w:p>
    <w:p w14:paraId="5C1518EB" w14:textId="77777777" w:rsidR="0067610E" w:rsidRPr="00B822FC" w:rsidRDefault="0067610E">
      <w:pPr>
        <w:pStyle w:val="BodytextAgency"/>
      </w:pPr>
    </w:p>
    <w:p w14:paraId="3069DA4C" w14:textId="77777777" w:rsidR="0067610E" w:rsidRPr="00B822FC" w:rsidRDefault="0067610E">
      <w:pPr>
        <w:pStyle w:val="BodytextAgency"/>
        <w:sectPr w:rsidR="0067610E" w:rsidRPr="00B822FC">
          <w:footerReference w:type="default" r:id="rId9"/>
          <w:headerReference w:type="first" r:id="rId10"/>
          <w:footerReference w:type="first" r:id="rId11"/>
          <w:pgSz w:w="11907" w:h="16839" w:code="9"/>
          <w:pgMar w:top="1418" w:right="1247" w:bottom="1418" w:left="1247" w:header="284" w:footer="680" w:gutter="0"/>
          <w:cols w:space="720"/>
          <w:titlePg/>
          <w:docGrid w:linePitch="326"/>
        </w:sectPr>
      </w:pPr>
    </w:p>
    <w:p w14:paraId="67E850CD" w14:textId="77777777" w:rsidR="0067610E" w:rsidRPr="00B822FC" w:rsidRDefault="0067610E">
      <w:pPr>
        <w:pStyle w:val="Heading1Agency"/>
      </w:pPr>
      <w:r w:rsidRPr="00B822FC">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5438"/>
        <w:gridCol w:w="6840"/>
      </w:tblGrid>
      <w:tr w:rsidR="0067610E" w:rsidRPr="0067610E" w14:paraId="12B11B0C" w14:textId="77777777" w:rsidTr="0067610E">
        <w:trPr>
          <w:tblHeader/>
        </w:trPr>
        <w:tc>
          <w:tcPr>
            <w:tcW w:w="848" w:type="pct"/>
            <w:tcBorders>
              <w:top w:val="nil"/>
              <w:left w:val="nil"/>
              <w:bottom w:val="nil"/>
              <w:right w:val="nil"/>
              <w:tl2br w:val="nil"/>
              <w:tr2bl w:val="nil"/>
            </w:tcBorders>
            <w:shd w:val="clear" w:color="auto" w:fill="003399"/>
          </w:tcPr>
          <w:p w14:paraId="5670B558" w14:textId="77777777" w:rsidR="0067610E" w:rsidRPr="0067610E" w:rsidRDefault="0067610E">
            <w:pPr>
              <w:pStyle w:val="TableheadingrowsAgency"/>
              <w:rPr>
                <w:b w:val="0"/>
                <w:bCs/>
              </w:rPr>
            </w:pPr>
            <w:r w:rsidRPr="0067610E">
              <w:rPr>
                <w:b w:val="0"/>
                <w:bCs/>
              </w:rPr>
              <w:t>Stakeholder number</w:t>
            </w:r>
          </w:p>
          <w:p w14:paraId="3CE9C7E3" w14:textId="77777777" w:rsidR="0067610E" w:rsidRPr="0067610E" w:rsidRDefault="0067610E">
            <w:pPr>
              <w:pStyle w:val="TableheadingrowsAgency"/>
              <w:rPr>
                <w:b w:val="0"/>
                <w:bCs/>
                <w:i/>
                <w:color w:val="339966"/>
              </w:rPr>
            </w:pPr>
            <w:r w:rsidRPr="0067610E">
              <w:rPr>
                <w:b w:val="0"/>
                <w:i/>
                <w:color w:val="339966"/>
              </w:rPr>
              <w:t>(To be completed by the Agency)</w:t>
            </w:r>
          </w:p>
        </w:tc>
        <w:tc>
          <w:tcPr>
            <w:tcW w:w="1839" w:type="pct"/>
            <w:tcBorders>
              <w:top w:val="nil"/>
              <w:left w:val="nil"/>
              <w:bottom w:val="nil"/>
              <w:right w:val="nil"/>
              <w:tl2br w:val="nil"/>
              <w:tr2bl w:val="nil"/>
            </w:tcBorders>
            <w:shd w:val="clear" w:color="auto" w:fill="003399"/>
          </w:tcPr>
          <w:p w14:paraId="6FA61DEA" w14:textId="77777777" w:rsidR="0067610E" w:rsidRPr="0067610E" w:rsidRDefault="0067610E">
            <w:pPr>
              <w:pStyle w:val="TableheadingrowsAgency"/>
              <w:rPr>
                <w:b w:val="0"/>
                <w:bCs/>
              </w:rPr>
            </w:pPr>
            <w:r w:rsidRPr="0067610E">
              <w:rPr>
                <w:b w:val="0"/>
                <w:bCs/>
              </w:rPr>
              <w:t>General comment (if any)</w:t>
            </w:r>
          </w:p>
        </w:tc>
        <w:tc>
          <w:tcPr>
            <w:tcW w:w="2313" w:type="pct"/>
            <w:tcBorders>
              <w:top w:val="nil"/>
              <w:left w:val="nil"/>
              <w:bottom w:val="nil"/>
              <w:right w:val="nil"/>
              <w:tl2br w:val="nil"/>
              <w:tr2bl w:val="nil"/>
            </w:tcBorders>
            <w:shd w:val="clear" w:color="auto" w:fill="003399"/>
          </w:tcPr>
          <w:p w14:paraId="52D67AAA" w14:textId="77777777" w:rsidR="0067610E" w:rsidRPr="0067610E" w:rsidRDefault="0067610E">
            <w:pPr>
              <w:pStyle w:val="TableheadingrowsAgency"/>
              <w:rPr>
                <w:b w:val="0"/>
                <w:bCs/>
              </w:rPr>
            </w:pPr>
            <w:r w:rsidRPr="0067610E">
              <w:rPr>
                <w:b w:val="0"/>
                <w:bCs/>
              </w:rPr>
              <w:t>Outcome (if applicable)</w:t>
            </w:r>
          </w:p>
          <w:p w14:paraId="092CB1E4" w14:textId="77777777" w:rsidR="0067610E" w:rsidRPr="0067610E" w:rsidRDefault="0067610E">
            <w:pPr>
              <w:pStyle w:val="TableheadingrowsAgency"/>
              <w:rPr>
                <w:b w:val="0"/>
                <w:bCs/>
                <w:i/>
                <w:color w:val="339966"/>
              </w:rPr>
            </w:pPr>
            <w:r w:rsidRPr="0067610E">
              <w:rPr>
                <w:b w:val="0"/>
                <w:i/>
                <w:color w:val="339966"/>
              </w:rPr>
              <w:t>(To be completed by the Agency)</w:t>
            </w:r>
          </w:p>
        </w:tc>
      </w:tr>
      <w:tr w:rsidR="0067610E" w14:paraId="6DCE7C4E" w14:textId="77777777" w:rsidTr="0067610E">
        <w:tc>
          <w:tcPr>
            <w:tcW w:w="848" w:type="pct"/>
            <w:shd w:val="clear" w:color="auto" w:fill="E1E3F2"/>
          </w:tcPr>
          <w:p w14:paraId="2F675D13" w14:textId="77777777" w:rsidR="0067610E" w:rsidRDefault="0067610E">
            <w:pPr>
              <w:pStyle w:val="TabletextrowsAgency"/>
            </w:pPr>
          </w:p>
        </w:tc>
        <w:tc>
          <w:tcPr>
            <w:tcW w:w="1839" w:type="pct"/>
            <w:shd w:val="clear" w:color="auto" w:fill="E1E3F2"/>
          </w:tcPr>
          <w:p w14:paraId="03C6CF0E" w14:textId="77777777" w:rsidR="002A6A38" w:rsidRDefault="002A6A38">
            <w:pPr>
              <w:pStyle w:val="TabletextrowsAgency"/>
            </w:pPr>
          </w:p>
          <w:p w14:paraId="14F488C3" w14:textId="21F65FD2" w:rsidR="002A4BE3" w:rsidRDefault="002A4BE3">
            <w:pPr>
              <w:pStyle w:val="TabletextrowsAgency"/>
            </w:pPr>
            <w:r>
              <w:t>Cell Medica welcomes the extensive development of this document f</w:t>
            </w:r>
            <w:r w:rsidR="00AA2469">
              <w:t>rom the text in the first draft published.</w:t>
            </w:r>
          </w:p>
          <w:p w14:paraId="228C43F1" w14:textId="77777777" w:rsidR="002A4BE3" w:rsidRDefault="002A4BE3">
            <w:pPr>
              <w:pStyle w:val="TabletextrowsAgency"/>
            </w:pPr>
          </w:p>
          <w:p w14:paraId="3EA6B866" w14:textId="24AD3CEA" w:rsidR="00BA472A" w:rsidRDefault="00BA472A">
            <w:pPr>
              <w:pStyle w:val="TabletextrowsAgency"/>
            </w:pPr>
            <w:r>
              <w:t>We believe this brings a more appropriate level of flexibility and understanding of the particular difficulties in application of current EU GMP to ATMP’s in particular small scale autologous products.</w:t>
            </w:r>
          </w:p>
          <w:p w14:paraId="2506B114" w14:textId="4BFFA0BC" w:rsidR="00BA472A" w:rsidRDefault="00BA472A">
            <w:pPr>
              <w:pStyle w:val="TabletextrowsAgency"/>
            </w:pPr>
          </w:p>
          <w:p w14:paraId="2B6A60D8" w14:textId="69B00B6A" w:rsidR="0067610E" w:rsidRDefault="0067610E" w:rsidP="00362C1A">
            <w:pPr>
              <w:pStyle w:val="TabletextrowsAgency"/>
            </w:pPr>
          </w:p>
        </w:tc>
        <w:tc>
          <w:tcPr>
            <w:tcW w:w="2313" w:type="pct"/>
            <w:shd w:val="clear" w:color="auto" w:fill="E1E3F2"/>
          </w:tcPr>
          <w:p w14:paraId="2B120820" w14:textId="2ACDB5FD" w:rsidR="0067610E" w:rsidRPr="00A14A48" w:rsidRDefault="0067610E">
            <w:pPr>
              <w:pStyle w:val="TabletextrowsAgency"/>
              <w:rPr>
                <w:highlight w:val="yellow"/>
              </w:rPr>
            </w:pPr>
          </w:p>
        </w:tc>
      </w:tr>
    </w:tbl>
    <w:p w14:paraId="25839D85" w14:textId="6169AB5F" w:rsidR="0067610E" w:rsidRDefault="00143FB9">
      <w:pPr>
        <w:pStyle w:val="BodytextAgency"/>
      </w:pPr>
      <w:r>
        <w:t>s</w:t>
      </w:r>
    </w:p>
    <w:p w14:paraId="453EC16C" w14:textId="77777777" w:rsidR="0067610E" w:rsidRPr="00B822FC" w:rsidRDefault="0067610E">
      <w:pPr>
        <w:pStyle w:val="Heading1Agency"/>
        <w:pageBreakBefore/>
      </w:pPr>
      <w:r w:rsidRPr="00B822FC">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8"/>
        <w:gridCol w:w="2401"/>
        <w:gridCol w:w="5932"/>
        <w:gridCol w:w="4545"/>
      </w:tblGrid>
      <w:tr w:rsidR="0067610E" w:rsidRPr="00F30925" w14:paraId="39C99F97" w14:textId="77777777" w:rsidTr="0067610E">
        <w:trPr>
          <w:tblHeader/>
        </w:trPr>
        <w:tc>
          <w:tcPr>
            <w:tcW w:w="645" w:type="pct"/>
            <w:tcBorders>
              <w:top w:val="nil"/>
              <w:left w:val="nil"/>
              <w:bottom w:val="nil"/>
              <w:right w:val="nil"/>
              <w:tl2br w:val="nil"/>
              <w:tr2bl w:val="nil"/>
            </w:tcBorders>
            <w:shd w:val="clear" w:color="auto" w:fill="003399"/>
          </w:tcPr>
          <w:p w14:paraId="138F185D" w14:textId="77777777" w:rsidR="0067610E" w:rsidRDefault="0067610E">
            <w:pPr>
              <w:pStyle w:val="TableheadingrowsAgency"/>
              <w:rPr>
                <w:b w:val="0"/>
              </w:rPr>
            </w:pPr>
            <w:r w:rsidRPr="00F30925">
              <w:rPr>
                <w:b w:val="0"/>
              </w:rPr>
              <w:t xml:space="preserve">Line </w:t>
            </w:r>
            <w:r>
              <w:rPr>
                <w:b w:val="0"/>
              </w:rPr>
              <w:t>number(s)</w:t>
            </w:r>
            <w:r w:rsidRPr="00F30925">
              <w:rPr>
                <w:b w:val="0"/>
              </w:rPr>
              <w:t xml:space="preserve"> of the </w:t>
            </w:r>
            <w:r>
              <w:rPr>
                <w:b w:val="0"/>
              </w:rPr>
              <w:t>relevant text</w:t>
            </w:r>
          </w:p>
          <w:p w14:paraId="73A6703D" w14:textId="77777777" w:rsidR="0067610E" w:rsidRPr="0067610E" w:rsidRDefault="0067610E">
            <w:pPr>
              <w:pStyle w:val="TableheadingrowsAgency"/>
              <w:rPr>
                <w:b w:val="0"/>
                <w:i/>
                <w:color w:val="339966"/>
              </w:rPr>
            </w:pPr>
            <w:r w:rsidRPr="0067610E">
              <w:rPr>
                <w:b w:val="0"/>
                <w:i/>
                <w:color w:val="339966"/>
              </w:rPr>
              <w:t>(e.g. Lines 20-23)</w:t>
            </w:r>
          </w:p>
        </w:tc>
        <w:tc>
          <w:tcPr>
            <w:tcW w:w="812" w:type="pct"/>
            <w:tcBorders>
              <w:top w:val="nil"/>
              <w:left w:val="nil"/>
              <w:bottom w:val="nil"/>
              <w:right w:val="nil"/>
              <w:tl2br w:val="nil"/>
              <w:tr2bl w:val="nil"/>
            </w:tcBorders>
            <w:shd w:val="clear" w:color="auto" w:fill="003399"/>
          </w:tcPr>
          <w:p w14:paraId="532CC6CD" w14:textId="77777777" w:rsidR="0067610E" w:rsidRDefault="0067610E">
            <w:pPr>
              <w:pStyle w:val="TableheadingrowsAgency"/>
              <w:rPr>
                <w:b w:val="0"/>
              </w:rPr>
            </w:pPr>
            <w:r>
              <w:rPr>
                <w:b w:val="0"/>
              </w:rPr>
              <w:t>Stakeholder number</w:t>
            </w:r>
          </w:p>
          <w:p w14:paraId="77D37D03" w14:textId="77777777" w:rsidR="0067610E" w:rsidRDefault="0067610E">
            <w:pPr>
              <w:pStyle w:val="TableheadingrowsAgency"/>
              <w:rPr>
                <w:b w:val="0"/>
              </w:rPr>
            </w:pPr>
            <w:r w:rsidRPr="0067610E">
              <w:rPr>
                <w:b w:val="0"/>
                <w:i/>
                <w:color w:val="339966"/>
              </w:rPr>
              <w:t>(To be completed by the Agency)</w:t>
            </w:r>
          </w:p>
        </w:tc>
        <w:tc>
          <w:tcPr>
            <w:tcW w:w="2006" w:type="pct"/>
            <w:tcBorders>
              <w:top w:val="nil"/>
              <w:left w:val="nil"/>
              <w:bottom w:val="nil"/>
              <w:right w:val="nil"/>
              <w:tl2br w:val="nil"/>
              <w:tr2bl w:val="nil"/>
            </w:tcBorders>
            <w:shd w:val="clear" w:color="auto" w:fill="003399"/>
          </w:tcPr>
          <w:p w14:paraId="076FD46E" w14:textId="77777777" w:rsidR="0067610E" w:rsidRDefault="0067610E">
            <w:pPr>
              <w:pStyle w:val="TableheadingrowsAgency"/>
              <w:rPr>
                <w:b w:val="0"/>
              </w:rPr>
            </w:pPr>
            <w:r>
              <w:rPr>
                <w:b w:val="0"/>
              </w:rPr>
              <w:t>Comment and r</w:t>
            </w:r>
            <w:r w:rsidRPr="00F30925">
              <w:rPr>
                <w:b w:val="0"/>
              </w:rPr>
              <w:t>ationale; proposed changes</w:t>
            </w:r>
          </w:p>
          <w:p w14:paraId="683528A5" w14:textId="77777777" w:rsidR="0067610E" w:rsidRPr="0067610E" w:rsidRDefault="0067610E">
            <w:pPr>
              <w:pStyle w:val="TableheadingrowsAgency"/>
              <w:rPr>
                <w:b w:val="0"/>
                <w:i/>
                <w:color w:val="339966"/>
              </w:rPr>
            </w:pPr>
            <w:r w:rsidRPr="0067610E">
              <w:rPr>
                <w:b w:val="0"/>
                <w:i/>
                <w:color w:val="339966"/>
              </w:rPr>
              <w:t>(If changes to the wording are suggested, they should be highlighted using 'track changes')</w:t>
            </w:r>
          </w:p>
        </w:tc>
        <w:tc>
          <w:tcPr>
            <w:tcW w:w="1537" w:type="pct"/>
            <w:tcBorders>
              <w:top w:val="nil"/>
              <w:left w:val="nil"/>
              <w:bottom w:val="nil"/>
              <w:right w:val="nil"/>
              <w:tl2br w:val="nil"/>
              <w:tr2bl w:val="nil"/>
            </w:tcBorders>
            <w:shd w:val="clear" w:color="auto" w:fill="003399"/>
          </w:tcPr>
          <w:p w14:paraId="5A6533FB" w14:textId="77777777" w:rsidR="0067610E" w:rsidRDefault="0067610E">
            <w:pPr>
              <w:pStyle w:val="TableheadingrowsAgency"/>
              <w:rPr>
                <w:b w:val="0"/>
              </w:rPr>
            </w:pPr>
            <w:r w:rsidRPr="00F30925">
              <w:rPr>
                <w:b w:val="0"/>
              </w:rPr>
              <w:t>Outcome</w:t>
            </w:r>
          </w:p>
          <w:p w14:paraId="77880F8E" w14:textId="77777777" w:rsidR="0067610E" w:rsidRPr="00F30925" w:rsidRDefault="0067610E">
            <w:pPr>
              <w:pStyle w:val="TableheadingrowsAgency"/>
              <w:rPr>
                <w:b w:val="0"/>
              </w:rPr>
            </w:pPr>
            <w:r w:rsidRPr="0067610E">
              <w:rPr>
                <w:b w:val="0"/>
                <w:i/>
                <w:color w:val="339966"/>
              </w:rPr>
              <w:t>(To be completed by the Agency)</w:t>
            </w:r>
          </w:p>
        </w:tc>
      </w:tr>
      <w:tr w:rsidR="003B4556" w:rsidRPr="00B822FC" w14:paraId="5603D4DA" w14:textId="77777777" w:rsidTr="0067610E">
        <w:tc>
          <w:tcPr>
            <w:tcW w:w="645" w:type="pct"/>
            <w:shd w:val="clear" w:color="auto" w:fill="E1E3F2"/>
          </w:tcPr>
          <w:p w14:paraId="06FC3801" w14:textId="5BFC87E8" w:rsidR="003B4556" w:rsidRDefault="002A4BE3" w:rsidP="003B4556">
            <w:pPr>
              <w:pStyle w:val="TabletextrowsAgency"/>
            </w:pPr>
            <w:r>
              <w:t>Line 105-106</w:t>
            </w:r>
          </w:p>
        </w:tc>
        <w:tc>
          <w:tcPr>
            <w:tcW w:w="812" w:type="pct"/>
            <w:shd w:val="clear" w:color="auto" w:fill="E1E3F2"/>
          </w:tcPr>
          <w:p w14:paraId="14FD312B" w14:textId="77777777" w:rsidR="003B4556" w:rsidRDefault="003B4556" w:rsidP="003B4556">
            <w:pPr>
              <w:pStyle w:val="TabletextrowsAgency"/>
            </w:pPr>
          </w:p>
        </w:tc>
        <w:tc>
          <w:tcPr>
            <w:tcW w:w="2006" w:type="pct"/>
            <w:shd w:val="clear" w:color="auto" w:fill="E1E3F2"/>
          </w:tcPr>
          <w:p w14:paraId="34CFEDE8" w14:textId="46F30310" w:rsidR="003B4556" w:rsidRPr="00385F29" w:rsidRDefault="00811834" w:rsidP="00354B64">
            <w:pPr>
              <w:pStyle w:val="TabletextrowsAgency"/>
              <w:rPr>
                <w:color w:val="0070C0"/>
              </w:rPr>
            </w:pPr>
            <w:r>
              <w:t xml:space="preserve">More detail should be provided on Senior Management responsibilities </w:t>
            </w:r>
            <w:r w:rsidR="00C02A3D">
              <w:t>to account for recent</w:t>
            </w:r>
            <w:r>
              <w:t xml:space="preserve"> EU GMP updates</w:t>
            </w:r>
            <w:r w:rsidR="00C02A3D">
              <w:t xml:space="preserve">. Suggested text has been provided for inclusion in Section 3.1 but could equally be added here. </w:t>
            </w:r>
          </w:p>
        </w:tc>
        <w:tc>
          <w:tcPr>
            <w:tcW w:w="1537" w:type="pct"/>
            <w:shd w:val="clear" w:color="auto" w:fill="E1E3F2"/>
          </w:tcPr>
          <w:p w14:paraId="27E6A2E4" w14:textId="1064AEA0" w:rsidR="003B4556" w:rsidRPr="00561BA0" w:rsidRDefault="003B4556" w:rsidP="003B4556">
            <w:pPr>
              <w:pStyle w:val="TabletextrowsAgency"/>
            </w:pPr>
          </w:p>
        </w:tc>
      </w:tr>
      <w:tr w:rsidR="002A4BE3" w:rsidRPr="00B822FC" w14:paraId="1DD10D4F" w14:textId="77777777" w:rsidTr="0067610E">
        <w:tc>
          <w:tcPr>
            <w:tcW w:w="645" w:type="pct"/>
            <w:shd w:val="clear" w:color="auto" w:fill="E1E3F2"/>
          </w:tcPr>
          <w:p w14:paraId="183F3EFB" w14:textId="2AC7DAD8" w:rsidR="002A4BE3" w:rsidRDefault="00CC2AF4" w:rsidP="003B4556">
            <w:pPr>
              <w:pStyle w:val="TabletextrowsAgency"/>
            </w:pPr>
            <w:r>
              <w:t>L</w:t>
            </w:r>
            <w:r w:rsidR="0039181F">
              <w:t>ine 273-274</w:t>
            </w:r>
          </w:p>
        </w:tc>
        <w:tc>
          <w:tcPr>
            <w:tcW w:w="812" w:type="pct"/>
            <w:shd w:val="clear" w:color="auto" w:fill="E1E3F2"/>
          </w:tcPr>
          <w:p w14:paraId="4D5FDFA6" w14:textId="77777777" w:rsidR="002A4BE3" w:rsidRDefault="002A4BE3" w:rsidP="003B4556">
            <w:pPr>
              <w:pStyle w:val="TabletextrowsAgency"/>
            </w:pPr>
          </w:p>
        </w:tc>
        <w:tc>
          <w:tcPr>
            <w:tcW w:w="2006" w:type="pct"/>
            <w:shd w:val="clear" w:color="auto" w:fill="E1E3F2"/>
          </w:tcPr>
          <w:p w14:paraId="7213D38B" w14:textId="60E70F83" w:rsidR="002A4BE3" w:rsidRPr="0039181F" w:rsidRDefault="0039181F" w:rsidP="0039181F">
            <w:pPr>
              <w:pStyle w:val="TabletextrowsAgency"/>
              <w:rPr>
                <w:i/>
              </w:rPr>
            </w:pPr>
            <w:r>
              <w:t>The line ‘</w:t>
            </w:r>
            <w:r w:rsidRPr="0039181F">
              <w:rPr>
                <w:i/>
              </w:rPr>
              <w:t>It may be justified to waive the on-going stability program for products with a very short shelf-life.</w:t>
            </w:r>
            <w:r>
              <w:rPr>
                <w:i/>
              </w:rPr>
              <w:t xml:space="preserve">’ </w:t>
            </w:r>
            <w:r>
              <w:t xml:space="preserve">Should be clarified to provide guidance as to what is considered a </w:t>
            </w:r>
            <w:r w:rsidRPr="0039181F">
              <w:rPr>
                <w:i/>
              </w:rPr>
              <w:t>very short shelf life</w:t>
            </w:r>
            <w:r>
              <w:t xml:space="preserve"> (</w:t>
            </w:r>
            <w:r w:rsidR="00362C1A">
              <w:t xml:space="preserve">e.g. </w:t>
            </w:r>
            <w:r>
              <w:t xml:space="preserve">less than X days, weeks, months etc) </w:t>
            </w:r>
          </w:p>
        </w:tc>
        <w:tc>
          <w:tcPr>
            <w:tcW w:w="1537" w:type="pct"/>
            <w:shd w:val="clear" w:color="auto" w:fill="E1E3F2"/>
          </w:tcPr>
          <w:p w14:paraId="7DA77F71" w14:textId="60870E76" w:rsidR="002A4BE3" w:rsidRPr="00561BA0" w:rsidRDefault="002A4BE3" w:rsidP="003B4556">
            <w:pPr>
              <w:pStyle w:val="TabletextrowsAgency"/>
            </w:pPr>
          </w:p>
        </w:tc>
      </w:tr>
      <w:tr w:rsidR="002A4BE3" w:rsidRPr="00B822FC" w14:paraId="053377BC" w14:textId="77777777" w:rsidTr="0067610E">
        <w:tc>
          <w:tcPr>
            <w:tcW w:w="645" w:type="pct"/>
            <w:shd w:val="clear" w:color="auto" w:fill="E1E3F2"/>
          </w:tcPr>
          <w:p w14:paraId="02A9B8FA" w14:textId="196B47E9" w:rsidR="002A4BE3" w:rsidRDefault="0039181F" w:rsidP="003B4556">
            <w:pPr>
              <w:pStyle w:val="TabletextrowsAgency"/>
            </w:pPr>
            <w:r>
              <w:t>Line 300-302</w:t>
            </w:r>
          </w:p>
        </w:tc>
        <w:tc>
          <w:tcPr>
            <w:tcW w:w="812" w:type="pct"/>
            <w:shd w:val="clear" w:color="auto" w:fill="E1E3F2"/>
          </w:tcPr>
          <w:p w14:paraId="442A1135" w14:textId="77777777" w:rsidR="002A4BE3" w:rsidRDefault="002A4BE3" w:rsidP="003B4556">
            <w:pPr>
              <w:pStyle w:val="TabletextrowsAgency"/>
            </w:pPr>
          </w:p>
        </w:tc>
        <w:tc>
          <w:tcPr>
            <w:tcW w:w="2006" w:type="pct"/>
            <w:shd w:val="clear" w:color="auto" w:fill="E1E3F2"/>
          </w:tcPr>
          <w:p w14:paraId="2A3DF1CF" w14:textId="77777777" w:rsidR="00720A87" w:rsidRDefault="0039181F" w:rsidP="0039181F">
            <w:pPr>
              <w:pStyle w:val="TabletextrowsAgency"/>
            </w:pPr>
            <w:r>
              <w:t>This sentence implies that under a risk based approach for manufacturing it would be possible to manufacture in a Grade A zone with a Grade D background. This is a) considered a high risk for an as</w:t>
            </w:r>
            <w:r w:rsidR="00720A87">
              <w:t>eptically produced product regardless of controls in place b) this is inconsistent with other text e.g. Line 323 which states a minimum of Grade C background for investigational ATMP’s.</w:t>
            </w:r>
          </w:p>
          <w:p w14:paraId="1CE2F58D" w14:textId="03DCE089" w:rsidR="002A4BE3" w:rsidRDefault="00720A87" w:rsidP="0039181F">
            <w:pPr>
              <w:pStyle w:val="TabletextrowsAgency"/>
            </w:pPr>
            <w:r>
              <w:t>We would recommend this be changed to Grade C.</w:t>
            </w:r>
          </w:p>
        </w:tc>
        <w:tc>
          <w:tcPr>
            <w:tcW w:w="1537" w:type="pct"/>
            <w:shd w:val="clear" w:color="auto" w:fill="E1E3F2"/>
          </w:tcPr>
          <w:p w14:paraId="49F2DDCA" w14:textId="45D00D62" w:rsidR="002A4BE3" w:rsidRPr="00561BA0" w:rsidRDefault="002A4BE3" w:rsidP="003B4556">
            <w:pPr>
              <w:pStyle w:val="TabletextrowsAgency"/>
            </w:pPr>
          </w:p>
        </w:tc>
      </w:tr>
      <w:tr w:rsidR="00720A87" w:rsidRPr="00B822FC" w14:paraId="03DE561E" w14:textId="77777777" w:rsidTr="0067610E">
        <w:tc>
          <w:tcPr>
            <w:tcW w:w="645" w:type="pct"/>
            <w:shd w:val="clear" w:color="auto" w:fill="E1E3F2"/>
          </w:tcPr>
          <w:p w14:paraId="5906262D" w14:textId="428079F5" w:rsidR="00720A87" w:rsidRDefault="00720A87" w:rsidP="003B4556">
            <w:pPr>
              <w:pStyle w:val="TabletextrowsAgency"/>
            </w:pPr>
            <w:r>
              <w:t>Lines 330</w:t>
            </w:r>
          </w:p>
        </w:tc>
        <w:tc>
          <w:tcPr>
            <w:tcW w:w="812" w:type="pct"/>
            <w:shd w:val="clear" w:color="auto" w:fill="E1E3F2"/>
          </w:tcPr>
          <w:p w14:paraId="5BF37060" w14:textId="77777777" w:rsidR="00720A87" w:rsidRDefault="00720A87" w:rsidP="003B4556">
            <w:pPr>
              <w:pStyle w:val="TabletextrowsAgency"/>
            </w:pPr>
          </w:p>
        </w:tc>
        <w:tc>
          <w:tcPr>
            <w:tcW w:w="2006" w:type="pct"/>
            <w:shd w:val="clear" w:color="auto" w:fill="E1E3F2"/>
          </w:tcPr>
          <w:p w14:paraId="252AFF86" w14:textId="320C425E" w:rsidR="00720A87" w:rsidRDefault="00720A87" w:rsidP="00720A87">
            <w:pPr>
              <w:pStyle w:val="TabletextrowsAgency"/>
            </w:pPr>
            <w:r>
              <w:t xml:space="preserve">Add </w:t>
            </w:r>
            <w:r w:rsidRPr="00720A87">
              <w:rPr>
                <w:i/>
                <w:color w:val="0070C0"/>
              </w:rPr>
              <w:t>Refrigerators</w:t>
            </w:r>
            <w:r>
              <w:t xml:space="preserve"> to list OR remove </w:t>
            </w:r>
            <w:r w:rsidRPr="00720A87">
              <w:rPr>
                <w:strike/>
                <w:color w:val="FF0000"/>
              </w:rPr>
              <w:t xml:space="preserve">incubators and freezers </w:t>
            </w:r>
            <w:r>
              <w:t xml:space="preserve">and replace with </w:t>
            </w:r>
            <w:r w:rsidRPr="00720A87">
              <w:rPr>
                <w:i/>
                <w:color w:val="0070C0"/>
              </w:rPr>
              <w:t>Temperature Controlled Environments</w:t>
            </w:r>
          </w:p>
        </w:tc>
        <w:tc>
          <w:tcPr>
            <w:tcW w:w="1537" w:type="pct"/>
            <w:shd w:val="clear" w:color="auto" w:fill="E1E3F2"/>
          </w:tcPr>
          <w:p w14:paraId="7D9979B0" w14:textId="1A637858" w:rsidR="00720A87" w:rsidRPr="00561BA0" w:rsidRDefault="00720A87" w:rsidP="003B4556">
            <w:pPr>
              <w:pStyle w:val="TabletextrowsAgency"/>
            </w:pPr>
          </w:p>
        </w:tc>
      </w:tr>
      <w:tr w:rsidR="00362C1A" w:rsidRPr="00B822FC" w14:paraId="62D21F85" w14:textId="77777777" w:rsidTr="0067610E">
        <w:tc>
          <w:tcPr>
            <w:tcW w:w="645" w:type="pct"/>
            <w:shd w:val="clear" w:color="auto" w:fill="E1E3F2"/>
          </w:tcPr>
          <w:p w14:paraId="58BB11A1" w14:textId="09121935" w:rsidR="00362C1A" w:rsidRDefault="00362C1A" w:rsidP="003B4556">
            <w:pPr>
              <w:pStyle w:val="TabletextrowsAgency"/>
            </w:pPr>
            <w:r>
              <w:t>Line 344</w:t>
            </w:r>
          </w:p>
        </w:tc>
        <w:tc>
          <w:tcPr>
            <w:tcW w:w="812" w:type="pct"/>
            <w:shd w:val="clear" w:color="auto" w:fill="E1E3F2"/>
          </w:tcPr>
          <w:p w14:paraId="1BA044A0" w14:textId="77777777" w:rsidR="00362C1A" w:rsidRDefault="00362C1A" w:rsidP="003B4556">
            <w:pPr>
              <w:pStyle w:val="TabletextrowsAgency"/>
            </w:pPr>
          </w:p>
        </w:tc>
        <w:tc>
          <w:tcPr>
            <w:tcW w:w="2006" w:type="pct"/>
            <w:shd w:val="clear" w:color="auto" w:fill="E1E3F2"/>
          </w:tcPr>
          <w:p w14:paraId="15EC2230" w14:textId="65B898BC" w:rsidR="00362C1A" w:rsidRDefault="00362C1A" w:rsidP="00362C1A">
            <w:pPr>
              <w:pStyle w:val="TabletextrowsAgency"/>
            </w:pPr>
            <w:r>
              <w:t>More detail should be provided on Senior Management responsibilities as per EU GMP recent updates to Chapter 1</w:t>
            </w:r>
            <w:r w:rsidR="00AF36C2">
              <w:t xml:space="preserve"> and 2 (e.g. Sections 1-5,1.6,2.1 and 2.4) </w:t>
            </w:r>
            <w:r>
              <w:t xml:space="preserve">  </w:t>
            </w:r>
          </w:p>
          <w:p w14:paraId="06DCA07F" w14:textId="47D6C90F" w:rsidR="00362C1A" w:rsidRDefault="00362C1A" w:rsidP="00362C1A">
            <w:pPr>
              <w:pStyle w:val="TabletextrowsAgency"/>
            </w:pPr>
            <w:r>
              <w:t>The following text should be added ;</w:t>
            </w:r>
          </w:p>
          <w:p w14:paraId="6E75809E" w14:textId="0A197847" w:rsidR="00362C1A" w:rsidRPr="0046530A" w:rsidRDefault="00362C1A" w:rsidP="00362C1A">
            <w:pPr>
              <w:pStyle w:val="TabletextrowsAgency"/>
              <w:rPr>
                <w:i/>
                <w:color w:val="0070C0"/>
              </w:rPr>
            </w:pPr>
            <w:r w:rsidRPr="00385F29">
              <w:rPr>
                <w:i/>
                <w:color w:val="0070C0"/>
              </w:rPr>
              <w:t>Senior management has the ultimate responsibility to ensure an effective Pharmaceutical Quality System is in place, adequately resourced and that roles, responsibilities, and authorities are defined, communicated and implemented throughout the organisation.</w:t>
            </w:r>
          </w:p>
        </w:tc>
        <w:tc>
          <w:tcPr>
            <w:tcW w:w="1537" w:type="pct"/>
            <w:shd w:val="clear" w:color="auto" w:fill="E1E3F2"/>
          </w:tcPr>
          <w:p w14:paraId="2CD42D14" w14:textId="77777777" w:rsidR="00362C1A" w:rsidRDefault="00362C1A" w:rsidP="003B4556">
            <w:pPr>
              <w:pStyle w:val="TabletextrowsAgency"/>
            </w:pPr>
          </w:p>
        </w:tc>
      </w:tr>
      <w:tr w:rsidR="00720A87" w:rsidRPr="00B822FC" w14:paraId="16D087C7" w14:textId="77777777" w:rsidTr="0067610E">
        <w:tc>
          <w:tcPr>
            <w:tcW w:w="645" w:type="pct"/>
            <w:shd w:val="clear" w:color="auto" w:fill="E1E3F2"/>
          </w:tcPr>
          <w:p w14:paraId="77C7E5BE" w14:textId="765C33ED" w:rsidR="00720A87" w:rsidRDefault="00720A87" w:rsidP="003B4556">
            <w:pPr>
              <w:pStyle w:val="TabletextrowsAgency"/>
            </w:pPr>
            <w:r>
              <w:t>Lines 353</w:t>
            </w:r>
            <w:r w:rsidR="003C1331">
              <w:t>-354</w:t>
            </w:r>
          </w:p>
        </w:tc>
        <w:tc>
          <w:tcPr>
            <w:tcW w:w="812" w:type="pct"/>
            <w:shd w:val="clear" w:color="auto" w:fill="E1E3F2"/>
          </w:tcPr>
          <w:p w14:paraId="4AC59E16" w14:textId="77777777" w:rsidR="00720A87" w:rsidRDefault="00720A87" w:rsidP="003B4556">
            <w:pPr>
              <w:pStyle w:val="TabletextrowsAgency"/>
            </w:pPr>
          </w:p>
        </w:tc>
        <w:tc>
          <w:tcPr>
            <w:tcW w:w="2006" w:type="pct"/>
            <w:shd w:val="clear" w:color="auto" w:fill="E1E3F2"/>
          </w:tcPr>
          <w:p w14:paraId="1A4E99C5" w14:textId="21971A26" w:rsidR="00720A87" w:rsidRDefault="003C1331" w:rsidP="003C1331">
            <w:pPr>
              <w:pStyle w:val="TabletextrowsAgency"/>
            </w:pPr>
            <w:r>
              <w:t>Addition as shown is recommended. ‘</w:t>
            </w:r>
            <w:r w:rsidR="00720A87" w:rsidRPr="003C1331">
              <w:rPr>
                <w:i/>
              </w:rPr>
              <w:t xml:space="preserve">Personnel working in areas where contamination is a hazard should be given specific training on aseptic manufacturing </w:t>
            </w:r>
            <w:r w:rsidRPr="003C1331">
              <w:rPr>
                <w:i/>
                <w:color w:val="0070C0"/>
              </w:rPr>
              <w:t xml:space="preserve">including </w:t>
            </w:r>
            <w:r w:rsidR="00720A87" w:rsidRPr="003C1331">
              <w:rPr>
                <w:i/>
                <w:color w:val="0070C0"/>
              </w:rPr>
              <w:t>the basic elements of</w:t>
            </w:r>
            <w:r>
              <w:rPr>
                <w:i/>
                <w:color w:val="0070C0"/>
              </w:rPr>
              <w:t xml:space="preserve"> </w:t>
            </w:r>
            <w:r w:rsidR="00720A87" w:rsidRPr="003C1331">
              <w:rPr>
                <w:i/>
                <w:color w:val="0070C0"/>
              </w:rPr>
              <w:t>microbiology</w:t>
            </w:r>
            <w:r>
              <w:rPr>
                <w:i/>
                <w:color w:val="0070C0"/>
              </w:rPr>
              <w:t xml:space="preserve">’ </w:t>
            </w:r>
          </w:p>
        </w:tc>
        <w:tc>
          <w:tcPr>
            <w:tcW w:w="1537" w:type="pct"/>
            <w:shd w:val="clear" w:color="auto" w:fill="E1E3F2"/>
          </w:tcPr>
          <w:p w14:paraId="546DE3FF" w14:textId="4D3FDCCA" w:rsidR="00720A87" w:rsidRDefault="00720A87" w:rsidP="003B4556">
            <w:pPr>
              <w:pStyle w:val="TabletextrowsAgency"/>
            </w:pPr>
          </w:p>
        </w:tc>
      </w:tr>
      <w:tr w:rsidR="00EA7E91" w:rsidRPr="00B822FC" w14:paraId="6FAD2880" w14:textId="77777777" w:rsidTr="0067610E">
        <w:tc>
          <w:tcPr>
            <w:tcW w:w="645" w:type="pct"/>
            <w:shd w:val="clear" w:color="auto" w:fill="E1E3F2"/>
          </w:tcPr>
          <w:p w14:paraId="2AA83540" w14:textId="1E5BCB0A" w:rsidR="00EA7E91" w:rsidRDefault="00EA7E91" w:rsidP="003B4556">
            <w:pPr>
              <w:pStyle w:val="TabletextrowsAgency"/>
            </w:pPr>
            <w:r>
              <w:t>Line 356</w:t>
            </w:r>
          </w:p>
        </w:tc>
        <w:tc>
          <w:tcPr>
            <w:tcW w:w="812" w:type="pct"/>
            <w:shd w:val="clear" w:color="auto" w:fill="E1E3F2"/>
          </w:tcPr>
          <w:p w14:paraId="120FAA13" w14:textId="77777777" w:rsidR="00EA7E91" w:rsidRDefault="00EA7E91" w:rsidP="003B4556">
            <w:pPr>
              <w:pStyle w:val="TabletextrowsAgency"/>
            </w:pPr>
          </w:p>
        </w:tc>
        <w:tc>
          <w:tcPr>
            <w:tcW w:w="2006" w:type="pct"/>
            <w:shd w:val="clear" w:color="auto" w:fill="E1E3F2"/>
          </w:tcPr>
          <w:p w14:paraId="3DA68E6A" w14:textId="4E183F6A" w:rsidR="00EA7E91" w:rsidRDefault="00EA7E91" w:rsidP="00EA7E91">
            <w:pPr>
              <w:pStyle w:val="TabletextrowsAgency"/>
            </w:pPr>
            <w:r w:rsidRPr="00EA7E91">
              <w:t xml:space="preserve">There should be additional flexibility to assess operator aseptic technique. Suggest </w:t>
            </w:r>
            <w:r>
              <w:t xml:space="preserve">changing </w:t>
            </w:r>
          </w:p>
          <w:p w14:paraId="4636A53C" w14:textId="19314142" w:rsidR="00EA7E91" w:rsidRPr="00EA7E91" w:rsidRDefault="00EA7E91" w:rsidP="00EA7E91">
            <w:pPr>
              <w:pStyle w:val="TabletextrowsAgency"/>
              <w:rPr>
                <w:strike/>
                <w:color w:val="FF0000"/>
              </w:rPr>
            </w:pPr>
            <w:r w:rsidRPr="00EA7E91">
              <w:rPr>
                <w:strike/>
                <w:color w:val="FF0000"/>
              </w:rPr>
              <w:t>Prior to participating in routine aseptic manufacturing operations, personnel should participate in a successful process simulation test (see Section 9.5.3).</w:t>
            </w:r>
          </w:p>
          <w:p w14:paraId="7DFC5BDD" w14:textId="7860F692" w:rsidR="00EA7E91" w:rsidRDefault="00EA7E91" w:rsidP="00C02A3D">
            <w:pPr>
              <w:pStyle w:val="TabletextrowsAgency"/>
            </w:pPr>
            <w:r w:rsidRPr="00EA7E91">
              <w:rPr>
                <w:i/>
                <w:color w:val="0070C0"/>
              </w:rPr>
              <w:t>Prior to participating in routine aseptic manufacturing operations, the aseptic technique of personnel should be assessed</w:t>
            </w:r>
            <w:r w:rsidR="00C02A3D">
              <w:rPr>
                <w:i/>
                <w:color w:val="0070C0"/>
              </w:rPr>
              <w:t xml:space="preserve">, for instance by a </w:t>
            </w:r>
            <w:r w:rsidRPr="00EA7E91">
              <w:rPr>
                <w:i/>
                <w:color w:val="0070C0"/>
              </w:rPr>
              <w:t>competency based test or by participate in a successful process simulation test (see Section 9.5.3).</w:t>
            </w:r>
          </w:p>
        </w:tc>
        <w:tc>
          <w:tcPr>
            <w:tcW w:w="1537" w:type="pct"/>
            <w:shd w:val="clear" w:color="auto" w:fill="E1E3F2"/>
          </w:tcPr>
          <w:p w14:paraId="555D19A1" w14:textId="17407D06" w:rsidR="00EA7E91" w:rsidRDefault="00EA7E91" w:rsidP="003B4556">
            <w:pPr>
              <w:pStyle w:val="TabletextrowsAgency"/>
            </w:pPr>
          </w:p>
        </w:tc>
      </w:tr>
      <w:tr w:rsidR="003C1331" w:rsidRPr="00B822FC" w14:paraId="439C48AB" w14:textId="77777777" w:rsidTr="0067610E">
        <w:tc>
          <w:tcPr>
            <w:tcW w:w="645" w:type="pct"/>
            <w:shd w:val="clear" w:color="auto" w:fill="E1E3F2"/>
          </w:tcPr>
          <w:p w14:paraId="0552F9F0" w14:textId="7A0A9DE6" w:rsidR="003C1331" w:rsidRDefault="003C1331" w:rsidP="003B4556">
            <w:pPr>
              <w:pStyle w:val="TabletextrowsAgency"/>
            </w:pPr>
            <w:r>
              <w:t>Line 396</w:t>
            </w:r>
          </w:p>
        </w:tc>
        <w:tc>
          <w:tcPr>
            <w:tcW w:w="812" w:type="pct"/>
            <w:shd w:val="clear" w:color="auto" w:fill="E1E3F2"/>
          </w:tcPr>
          <w:p w14:paraId="5B4B1360" w14:textId="77777777" w:rsidR="003C1331" w:rsidRDefault="003C1331" w:rsidP="003B4556">
            <w:pPr>
              <w:pStyle w:val="TabletextrowsAgency"/>
            </w:pPr>
          </w:p>
        </w:tc>
        <w:tc>
          <w:tcPr>
            <w:tcW w:w="2006" w:type="pct"/>
            <w:shd w:val="clear" w:color="auto" w:fill="E1E3F2"/>
          </w:tcPr>
          <w:p w14:paraId="6A3323A3" w14:textId="15982899" w:rsidR="003C1331" w:rsidRDefault="003C1331" w:rsidP="003C1331">
            <w:pPr>
              <w:pStyle w:val="TabletextrowsAgency"/>
            </w:pPr>
            <w:r>
              <w:t xml:space="preserve">Replace </w:t>
            </w:r>
            <w:r w:rsidRPr="003C1331">
              <w:rPr>
                <w:strike/>
                <w:color w:val="FF0000"/>
              </w:rPr>
              <w:t>‘clean (sterilised)’</w:t>
            </w:r>
            <w:r>
              <w:t>, with ‘</w:t>
            </w:r>
            <w:r w:rsidRPr="003C1331">
              <w:rPr>
                <w:i/>
                <w:color w:val="0070C0"/>
              </w:rPr>
              <w:t>sterile clean</w:t>
            </w:r>
            <w:r>
              <w:rPr>
                <w:i/>
                <w:color w:val="0070C0"/>
              </w:rPr>
              <w:t>’</w:t>
            </w:r>
            <w:r>
              <w:t>. This could be interpreted that sterilised garments are only optional.</w:t>
            </w:r>
          </w:p>
        </w:tc>
        <w:tc>
          <w:tcPr>
            <w:tcW w:w="1537" w:type="pct"/>
            <w:shd w:val="clear" w:color="auto" w:fill="E1E3F2"/>
          </w:tcPr>
          <w:p w14:paraId="46EB1548" w14:textId="42CB3EEE" w:rsidR="003C1331" w:rsidRDefault="003C1331" w:rsidP="003B4556">
            <w:pPr>
              <w:pStyle w:val="TabletextrowsAgency"/>
            </w:pPr>
          </w:p>
        </w:tc>
      </w:tr>
      <w:tr w:rsidR="003C1331" w:rsidRPr="00B822FC" w14:paraId="5B87525E" w14:textId="77777777" w:rsidTr="0067610E">
        <w:tc>
          <w:tcPr>
            <w:tcW w:w="645" w:type="pct"/>
            <w:shd w:val="clear" w:color="auto" w:fill="E1E3F2"/>
          </w:tcPr>
          <w:p w14:paraId="1A521721" w14:textId="2E795604" w:rsidR="003C1331" w:rsidRDefault="003C1331" w:rsidP="003B4556">
            <w:pPr>
              <w:pStyle w:val="TabletextrowsAgency"/>
            </w:pPr>
            <w:r>
              <w:t xml:space="preserve">Line 407-408 </w:t>
            </w:r>
          </w:p>
        </w:tc>
        <w:tc>
          <w:tcPr>
            <w:tcW w:w="812" w:type="pct"/>
            <w:shd w:val="clear" w:color="auto" w:fill="E1E3F2"/>
          </w:tcPr>
          <w:p w14:paraId="5A4E1CB6" w14:textId="77777777" w:rsidR="003C1331" w:rsidRDefault="003C1331" w:rsidP="003B4556">
            <w:pPr>
              <w:pStyle w:val="TabletextrowsAgency"/>
            </w:pPr>
          </w:p>
        </w:tc>
        <w:tc>
          <w:tcPr>
            <w:tcW w:w="2006" w:type="pct"/>
            <w:shd w:val="clear" w:color="auto" w:fill="E1E3F2"/>
          </w:tcPr>
          <w:p w14:paraId="1F5CC1BE" w14:textId="4E59328E" w:rsidR="003C1331" w:rsidRDefault="003C1331" w:rsidP="003C1331">
            <w:pPr>
              <w:pStyle w:val="TabletextrowsAgency"/>
            </w:pPr>
            <w:r>
              <w:t xml:space="preserve">Clarify sentence </w:t>
            </w:r>
            <w:r w:rsidR="00C8482D" w:rsidRPr="00C8482D">
              <w:rPr>
                <w:i/>
              </w:rPr>
              <w:t>“</w:t>
            </w:r>
            <w:r w:rsidRPr="00C8482D">
              <w:rPr>
                <w:i/>
              </w:rPr>
              <w:t>When a person moves from one clean room to another clean room appropriate disinfection measures should be applied</w:t>
            </w:r>
            <w:r w:rsidR="00C8482D" w:rsidRPr="00C8482D">
              <w:rPr>
                <w:i/>
              </w:rPr>
              <w:t>”</w:t>
            </w:r>
            <w:r>
              <w:t xml:space="preserve">. Is this meant to apply to all cases even if working on similar products or only if personnel have been exposed to </w:t>
            </w:r>
            <w:r w:rsidRPr="003C1331">
              <w:t>live micro-organisms, genetically modified organisms, toxins or animals</w:t>
            </w:r>
            <w:r>
              <w:t xml:space="preserve"> etc as described in Lines 403-407. Suggest rewording to clarify as </w:t>
            </w:r>
          </w:p>
          <w:p w14:paraId="01B05627" w14:textId="3F5FF681" w:rsidR="003C1331" w:rsidRPr="0046530A" w:rsidRDefault="0046530A" w:rsidP="003C1331">
            <w:pPr>
              <w:pStyle w:val="TabletextrowsAgency"/>
              <w:rPr>
                <w:i/>
                <w:color w:val="0070C0"/>
              </w:rPr>
            </w:pPr>
            <w:r>
              <w:rPr>
                <w:i/>
                <w:color w:val="0070C0"/>
              </w:rPr>
              <w:t>“</w:t>
            </w:r>
            <w:r w:rsidR="00C02A3D" w:rsidRPr="0046530A">
              <w:rPr>
                <w:i/>
                <w:color w:val="0070C0"/>
              </w:rPr>
              <w:t xml:space="preserve">If such passage is unavoidable, appropriate control measures (having regard to the risks) should be applied including </w:t>
            </w:r>
            <w:r w:rsidRPr="0046530A">
              <w:rPr>
                <w:i/>
                <w:color w:val="0070C0"/>
              </w:rPr>
              <w:t xml:space="preserve">if </w:t>
            </w:r>
            <w:r w:rsidR="00C02A3D" w:rsidRPr="0046530A">
              <w:rPr>
                <w:i/>
                <w:color w:val="0070C0"/>
              </w:rPr>
              <w:t>a person moves from one clean room to another clean room appropriate disinfection measures should be applied</w:t>
            </w:r>
            <w:r w:rsidRPr="0046530A">
              <w:rPr>
                <w:i/>
                <w:color w:val="0070C0"/>
              </w:rPr>
              <w:t>.</w:t>
            </w:r>
            <w:r>
              <w:rPr>
                <w:i/>
                <w:color w:val="0070C0"/>
              </w:rPr>
              <w:t>”</w:t>
            </w:r>
          </w:p>
        </w:tc>
        <w:tc>
          <w:tcPr>
            <w:tcW w:w="1537" w:type="pct"/>
            <w:shd w:val="clear" w:color="auto" w:fill="E1E3F2"/>
          </w:tcPr>
          <w:p w14:paraId="64E5B616" w14:textId="43EAA902" w:rsidR="003C1331" w:rsidRDefault="003C1331" w:rsidP="003B4556">
            <w:pPr>
              <w:pStyle w:val="TabletextrowsAgency"/>
            </w:pPr>
          </w:p>
        </w:tc>
      </w:tr>
      <w:tr w:rsidR="002A4BE3" w:rsidRPr="00B822FC" w14:paraId="75744CF2" w14:textId="77777777" w:rsidTr="0067610E">
        <w:tc>
          <w:tcPr>
            <w:tcW w:w="645" w:type="pct"/>
            <w:shd w:val="clear" w:color="auto" w:fill="E1E3F2"/>
          </w:tcPr>
          <w:p w14:paraId="70465CD4" w14:textId="1585B775" w:rsidR="002A4BE3" w:rsidRDefault="002A4BE3" w:rsidP="002A4BE3">
            <w:pPr>
              <w:pStyle w:val="TabletextrowsAgency"/>
            </w:pPr>
            <w:r>
              <w:t>Lines 461-462</w:t>
            </w:r>
          </w:p>
        </w:tc>
        <w:tc>
          <w:tcPr>
            <w:tcW w:w="812" w:type="pct"/>
            <w:shd w:val="clear" w:color="auto" w:fill="E1E3F2"/>
          </w:tcPr>
          <w:p w14:paraId="56641FFC" w14:textId="77777777" w:rsidR="002A4BE3" w:rsidRDefault="002A4BE3" w:rsidP="002A4BE3">
            <w:pPr>
              <w:pStyle w:val="TabletextrowsAgency"/>
            </w:pPr>
          </w:p>
        </w:tc>
        <w:tc>
          <w:tcPr>
            <w:tcW w:w="2006" w:type="pct"/>
            <w:shd w:val="clear" w:color="auto" w:fill="E1E3F2"/>
          </w:tcPr>
          <w:p w14:paraId="4EF7EBA9" w14:textId="77777777" w:rsidR="002A4BE3" w:rsidRDefault="002A4BE3" w:rsidP="002A4BE3">
            <w:pPr>
              <w:pStyle w:val="TabletextrowsAgency"/>
            </w:pPr>
            <w:r>
              <w:t>Comment</w:t>
            </w:r>
            <w:r w:rsidRPr="00B822FC">
              <w:t>:</w:t>
            </w:r>
            <w:r>
              <w:t xml:space="preserve"> The manufacture of other medicinal products can be very similar to ATMP (similar starting materials with just a difference in unit operations or medical indication. A justification to require a dedicated area should not solely be based on product classification. For example, in Germany hematopoietic stem cell preparations are medicinal products; it does not stand to reason why these should be segregated from ATMP manufacture.</w:t>
            </w:r>
          </w:p>
          <w:p w14:paraId="18189BAC" w14:textId="77777777" w:rsidR="002A4BE3" w:rsidRDefault="002A4BE3" w:rsidP="002A4BE3">
            <w:pPr>
              <w:pStyle w:val="TabletextrowsAgency"/>
            </w:pPr>
            <w:r>
              <w:t>Delete sentence, because “conventional” GMPs are applicable to those “other medicinal products” guiding the necessary degree of segregation and dedication.</w:t>
            </w:r>
          </w:p>
          <w:p w14:paraId="0318D0D5" w14:textId="77777777" w:rsidR="002A4BE3" w:rsidRPr="00B822FC" w:rsidRDefault="002A4BE3" w:rsidP="002A4BE3">
            <w:pPr>
              <w:pStyle w:val="TabletextrowsAgency"/>
            </w:pPr>
            <w:r w:rsidRPr="00B822FC">
              <w:t>Proposed change:</w:t>
            </w:r>
          </w:p>
          <w:p w14:paraId="2E735212" w14:textId="77777777" w:rsidR="002A4BE3" w:rsidRDefault="002A4BE3" w:rsidP="002A4BE3">
            <w:pPr>
              <w:pStyle w:val="TabletextrowsAgency"/>
              <w:rPr>
                <w:strike/>
                <w:color w:val="FF0000"/>
              </w:rPr>
            </w:pPr>
            <w:r w:rsidRPr="00923544">
              <w:rPr>
                <w:strike/>
                <w:color w:val="FF0000"/>
              </w:rPr>
              <w:t>If the manufacturing site produces medicinal products other than ATMPs, the manufacture of ATMPs should take place in a dedicated area of the facility.</w:t>
            </w:r>
          </w:p>
          <w:p w14:paraId="5A2BE0D6" w14:textId="4B283049" w:rsidR="0046530A" w:rsidRDefault="0046530A" w:rsidP="002A4BE3">
            <w:pPr>
              <w:pStyle w:val="TabletextrowsAgency"/>
            </w:pPr>
            <w:r w:rsidRPr="0046530A">
              <w:t xml:space="preserve">Alternatively clarify that on a risk basis </w:t>
            </w:r>
            <w:r>
              <w:t>that that the preparation of ATMPs and non-ATMP cell and tissue preparations, or something similar, would be appropriate in the same area.</w:t>
            </w:r>
          </w:p>
        </w:tc>
        <w:tc>
          <w:tcPr>
            <w:tcW w:w="1537" w:type="pct"/>
            <w:shd w:val="clear" w:color="auto" w:fill="E1E3F2"/>
          </w:tcPr>
          <w:p w14:paraId="605D46DC" w14:textId="64D8D9CE" w:rsidR="002A4BE3" w:rsidRPr="00561BA0" w:rsidRDefault="002A4BE3" w:rsidP="002A4BE3">
            <w:pPr>
              <w:pStyle w:val="TabletextrowsAgency"/>
            </w:pPr>
          </w:p>
        </w:tc>
      </w:tr>
      <w:tr w:rsidR="00C8482D" w:rsidRPr="00B822FC" w14:paraId="24FABB6C" w14:textId="77777777" w:rsidTr="0067610E">
        <w:tc>
          <w:tcPr>
            <w:tcW w:w="645" w:type="pct"/>
            <w:shd w:val="clear" w:color="auto" w:fill="E1E3F2"/>
          </w:tcPr>
          <w:p w14:paraId="7407D577" w14:textId="5C1E7567" w:rsidR="00C8482D" w:rsidRDefault="00C8482D" w:rsidP="002A4BE3">
            <w:pPr>
              <w:pStyle w:val="TabletextrowsAgency"/>
            </w:pPr>
            <w:r>
              <w:t>508-511</w:t>
            </w:r>
          </w:p>
        </w:tc>
        <w:tc>
          <w:tcPr>
            <w:tcW w:w="812" w:type="pct"/>
            <w:shd w:val="clear" w:color="auto" w:fill="E1E3F2"/>
          </w:tcPr>
          <w:p w14:paraId="6B95262C" w14:textId="77777777" w:rsidR="00C8482D" w:rsidRDefault="00C8482D" w:rsidP="002A4BE3">
            <w:pPr>
              <w:pStyle w:val="TabletextrowsAgency"/>
            </w:pPr>
          </w:p>
        </w:tc>
        <w:tc>
          <w:tcPr>
            <w:tcW w:w="2006" w:type="pct"/>
            <w:shd w:val="clear" w:color="auto" w:fill="E1E3F2"/>
          </w:tcPr>
          <w:p w14:paraId="4BE2EF7A" w14:textId="3F269C9C" w:rsidR="00C8482D" w:rsidRDefault="00C8482D" w:rsidP="002A4BE3">
            <w:pPr>
              <w:pStyle w:val="TabletextrowsAgency"/>
            </w:pPr>
            <w:r>
              <w:t>Regarding special considerations for isolator validation we would add;</w:t>
            </w:r>
          </w:p>
          <w:p w14:paraId="5D1EAD42" w14:textId="6F96F2E0" w:rsidR="00C8482D" w:rsidRPr="00C8482D" w:rsidRDefault="00C8482D" w:rsidP="002A4BE3">
            <w:pPr>
              <w:pStyle w:val="TabletextrowsAgency"/>
              <w:rPr>
                <w:i/>
              </w:rPr>
            </w:pPr>
            <w:r w:rsidRPr="00C8482D">
              <w:rPr>
                <w:i/>
              </w:rPr>
              <w:t xml:space="preserve">“Isolators should be introduced only after appropriate validation. Validation should take into account all critical factors of isolator technology, for example the quality of the air inside and outside (background) the isolator, sanitisation of the isolator, </w:t>
            </w:r>
            <w:r w:rsidRPr="00C8482D">
              <w:rPr>
                <w:i/>
                <w:color w:val="0070C0"/>
              </w:rPr>
              <w:t xml:space="preserve">the impact of sanitising agents on materials sanitised and </w:t>
            </w:r>
            <w:r w:rsidR="002B1547">
              <w:rPr>
                <w:i/>
                <w:color w:val="0070C0"/>
              </w:rPr>
              <w:t xml:space="preserve">on </w:t>
            </w:r>
            <w:r w:rsidRPr="00C8482D">
              <w:rPr>
                <w:i/>
                <w:color w:val="0070C0"/>
              </w:rPr>
              <w:t>the process</w:t>
            </w:r>
            <w:r w:rsidRPr="00C8482D">
              <w:rPr>
                <w:i/>
              </w:rPr>
              <w:t>, the transfer process and the isolator’s integrity”</w:t>
            </w:r>
          </w:p>
          <w:p w14:paraId="53E64E35" w14:textId="0EBFF682" w:rsidR="00C8482D" w:rsidRDefault="00C8482D" w:rsidP="00C8482D">
            <w:pPr>
              <w:pStyle w:val="TabletextrowsAgency"/>
            </w:pPr>
            <w:r>
              <w:t xml:space="preserve">Particularly with </w:t>
            </w:r>
            <w:r w:rsidR="003B0E43">
              <w:t>c</w:t>
            </w:r>
            <w:r>
              <w:t xml:space="preserve">ell </w:t>
            </w:r>
            <w:r w:rsidR="003B0E43">
              <w:t>c</w:t>
            </w:r>
            <w:r>
              <w:t xml:space="preserve">ulture work, it is very important that the sanitising agents do not directly impact the materials or are absorbed into materials and </w:t>
            </w:r>
            <w:r w:rsidR="002B1547">
              <w:t xml:space="preserve">then </w:t>
            </w:r>
            <w:r>
              <w:t>have a negative impact on cell growth and product quality.</w:t>
            </w:r>
          </w:p>
        </w:tc>
        <w:tc>
          <w:tcPr>
            <w:tcW w:w="1537" w:type="pct"/>
            <w:shd w:val="clear" w:color="auto" w:fill="E1E3F2"/>
          </w:tcPr>
          <w:p w14:paraId="45533A92" w14:textId="71E7DCFE" w:rsidR="00C8482D" w:rsidRDefault="00C8482D" w:rsidP="002A4BE3">
            <w:pPr>
              <w:pStyle w:val="TabletextrowsAgency"/>
            </w:pPr>
          </w:p>
        </w:tc>
      </w:tr>
      <w:tr w:rsidR="002A4BE3" w:rsidRPr="00B822FC" w14:paraId="76B4683E" w14:textId="77777777" w:rsidTr="0067610E">
        <w:tc>
          <w:tcPr>
            <w:tcW w:w="645" w:type="pct"/>
            <w:shd w:val="clear" w:color="auto" w:fill="E1E3F2"/>
          </w:tcPr>
          <w:p w14:paraId="6C0988BB" w14:textId="10F70125" w:rsidR="002A4BE3" w:rsidRDefault="002A4BE3" w:rsidP="002A4BE3">
            <w:pPr>
              <w:pStyle w:val="TabletextrowsAgency"/>
            </w:pPr>
            <w:r>
              <w:t>(Line 529), foot note 6</w:t>
            </w:r>
          </w:p>
        </w:tc>
        <w:tc>
          <w:tcPr>
            <w:tcW w:w="812" w:type="pct"/>
            <w:shd w:val="clear" w:color="auto" w:fill="E1E3F2"/>
          </w:tcPr>
          <w:p w14:paraId="44CF7075" w14:textId="77777777" w:rsidR="002A4BE3" w:rsidRDefault="002A4BE3" w:rsidP="002A4BE3">
            <w:pPr>
              <w:pStyle w:val="TabletextrowsAgency"/>
            </w:pPr>
          </w:p>
        </w:tc>
        <w:tc>
          <w:tcPr>
            <w:tcW w:w="2006" w:type="pct"/>
            <w:shd w:val="clear" w:color="auto" w:fill="E1E3F2"/>
          </w:tcPr>
          <w:p w14:paraId="651A2287" w14:textId="77777777" w:rsidR="002A4BE3" w:rsidRDefault="002A4BE3" w:rsidP="002A4BE3">
            <w:pPr>
              <w:pStyle w:val="TabletextrowsAgency"/>
            </w:pPr>
            <w:r>
              <w:t>Comment: The phrasing “should be measured after a short clean-up period” for at rest measurement implies that at rest measurements could only be performed after passing through an operational state recently. Retain wording of current Annex 1.</w:t>
            </w:r>
          </w:p>
          <w:p w14:paraId="36AB6FB5" w14:textId="77777777" w:rsidR="002A4BE3" w:rsidRPr="00B822FC" w:rsidRDefault="002A4BE3" w:rsidP="002A4BE3">
            <w:pPr>
              <w:pStyle w:val="TabletextrowsAgency"/>
            </w:pPr>
            <w:r>
              <w:t>Proposed change</w:t>
            </w:r>
            <w:r w:rsidRPr="00B822FC">
              <w:t>:</w:t>
            </w:r>
          </w:p>
          <w:p w14:paraId="69E94459" w14:textId="77777777" w:rsidR="002A4BE3" w:rsidRDefault="002A4BE3" w:rsidP="002A4BE3">
            <w:pPr>
              <w:pStyle w:val="TabletextrowsAgency"/>
            </w:pPr>
            <w:r w:rsidRPr="00F439B4">
              <w:t xml:space="preserve">The particle limits should be </w:t>
            </w:r>
            <w:r w:rsidRPr="00F439B4">
              <w:rPr>
                <w:strike/>
                <w:color w:val="FF0000"/>
              </w:rPr>
              <w:t>measured</w:t>
            </w:r>
            <w:r w:rsidRPr="00F439B4">
              <w:t xml:space="preserve"> </w:t>
            </w:r>
            <w:r w:rsidRPr="00F439B4">
              <w:rPr>
                <w:color w:val="0070C0"/>
              </w:rPr>
              <w:t>achieved</w:t>
            </w:r>
            <w:r>
              <w:t xml:space="preserve"> </w:t>
            </w:r>
            <w:r w:rsidRPr="00F439B4">
              <w:t>after a short “clean up period” of approximatively 15-20 minutes after completion of operations.</w:t>
            </w:r>
          </w:p>
        </w:tc>
        <w:tc>
          <w:tcPr>
            <w:tcW w:w="1537" w:type="pct"/>
            <w:shd w:val="clear" w:color="auto" w:fill="E1E3F2"/>
          </w:tcPr>
          <w:p w14:paraId="34F0031E" w14:textId="0BB3ADCE" w:rsidR="002A4BE3" w:rsidRPr="00561BA0" w:rsidRDefault="002A4BE3" w:rsidP="002A4BE3">
            <w:pPr>
              <w:pStyle w:val="TabletextrowsAgency"/>
            </w:pPr>
          </w:p>
        </w:tc>
      </w:tr>
      <w:tr w:rsidR="00383E8C" w:rsidRPr="00B822FC" w14:paraId="30838945" w14:textId="77777777" w:rsidTr="0067610E">
        <w:tc>
          <w:tcPr>
            <w:tcW w:w="645" w:type="pct"/>
            <w:shd w:val="clear" w:color="auto" w:fill="E1E3F2"/>
          </w:tcPr>
          <w:p w14:paraId="64A18BDA" w14:textId="3550237C" w:rsidR="00383E8C" w:rsidRDefault="00383E8C" w:rsidP="002A4BE3">
            <w:pPr>
              <w:pStyle w:val="TabletextrowsAgency"/>
            </w:pPr>
            <w:r>
              <w:t>Line 540-542</w:t>
            </w:r>
          </w:p>
        </w:tc>
        <w:tc>
          <w:tcPr>
            <w:tcW w:w="812" w:type="pct"/>
            <w:shd w:val="clear" w:color="auto" w:fill="E1E3F2"/>
          </w:tcPr>
          <w:p w14:paraId="247F1C3D" w14:textId="77777777" w:rsidR="00383E8C" w:rsidRDefault="00383E8C" w:rsidP="002A4BE3">
            <w:pPr>
              <w:pStyle w:val="TabletextrowsAgency"/>
            </w:pPr>
          </w:p>
        </w:tc>
        <w:tc>
          <w:tcPr>
            <w:tcW w:w="2006" w:type="pct"/>
            <w:shd w:val="clear" w:color="auto" w:fill="E1E3F2"/>
          </w:tcPr>
          <w:p w14:paraId="15C3AE02" w14:textId="37A68B45" w:rsidR="00383E8C" w:rsidRPr="00383E8C" w:rsidRDefault="00383E8C" w:rsidP="00B54751">
            <w:pPr>
              <w:autoSpaceDE w:val="0"/>
              <w:autoSpaceDN w:val="0"/>
              <w:adjustRightInd w:val="0"/>
              <w:spacing w:line="280" w:lineRule="exact"/>
              <w:rPr>
                <w:rFonts w:eastAsia="Times New Roman"/>
              </w:rPr>
            </w:pPr>
            <w:r w:rsidRPr="00383E8C">
              <w:rPr>
                <w:rFonts w:eastAsia="Times New Roman"/>
              </w:rPr>
              <w:t xml:space="preserve">Temperature and humidity should only be </w:t>
            </w:r>
            <w:r>
              <w:rPr>
                <w:rFonts w:eastAsia="Times New Roman"/>
              </w:rPr>
              <w:t xml:space="preserve">routinely </w:t>
            </w:r>
            <w:r w:rsidRPr="00383E8C">
              <w:rPr>
                <w:rFonts w:eastAsia="Times New Roman"/>
              </w:rPr>
              <w:t>monitor</w:t>
            </w:r>
            <w:r>
              <w:rPr>
                <w:rFonts w:eastAsia="Times New Roman"/>
              </w:rPr>
              <w:t>ed</w:t>
            </w:r>
            <w:r w:rsidRPr="00383E8C">
              <w:rPr>
                <w:rFonts w:eastAsia="Times New Roman"/>
              </w:rPr>
              <w:t xml:space="preserve"> if they are relevant to process</w:t>
            </w:r>
            <w:r w:rsidR="00B54751">
              <w:rPr>
                <w:rFonts w:eastAsia="Times New Roman"/>
              </w:rPr>
              <w:t xml:space="preserve"> control</w:t>
            </w:r>
            <w:r w:rsidRPr="00383E8C">
              <w:rPr>
                <w:rFonts w:eastAsia="Times New Roman"/>
              </w:rPr>
              <w:t>.</w:t>
            </w:r>
            <w:r>
              <w:rPr>
                <w:rFonts w:eastAsia="Times New Roman"/>
              </w:rPr>
              <w:t xml:space="preserve"> </w:t>
            </w:r>
            <w:r w:rsidRPr="00383E8C">
              <w:rPr>
                <w:rFonts w:eastAsia="Times New Roman"/>
              </w:rPr>
              <w:t>Suggest the sentence is reworded as follows;</w:t>
            </w:r>
          </w:p>
          <w:p w14:paraId="3B6B152B" w14:textId="0811A730" w:rsidR="00383E8C" w:rsidRPr="00383E8C" w:rsidRDefault="00383E8C" w:rsidP="00B54751">
            <w:pPr>
              <w:autoSpaceDE w:val="0"/>
              <w:autoSpaceDN w:val="0"/>
              <w:adjustRightInd w:val="0"/>
              <w:spacing w:line="280" w:lineRule="exact"/>
              <w:rPr>
                <w:i/>
              </w:rPr>
            </w:pPr>
            <w:r w:rsidRPr="00383E8C">
              <w:rPr>
                <w:rFonts w:eastAsia="Times New Roman"/>
                <w:i/>
              </w:rPr>
              <w:t>“The environmental monitoring program should include the following parameters: particulate matter/microbiological contamination, air pressure differentials, airflow direction</w:t>
            </w:r>
            <w:r w:rsidRPr="00383E8C">
              <w:rPr>
                <w:rFonts w:eastAsia="Times New Roman"/>
                <w:i/>
                <w:color w:val="0070C0"/>
              </w:rPr>
              <w:t xml:space="preserve"> and where appropriate control is required for the process</w:t>
            </w:r>
            <w:r w:rsidR="00B54751">
              <w:rPr>
                <w:rFonts w:eastAsia="Times New Roman"/>
                <w:i/>
                <w:color w:val="0070C0"/>
              </w:rPr>
              <w:t>,</w:t>
            </w:r>
            <w:r w:rsidRPr="00383E8C">
              <w:rPr>
                <w:rFonts w:eastAsia="Times New Roman"/>
                <w:i/>
              </w:rPr>
              <w:t xml:space="preserve"> temperature and relative humidity.”</w:t>
            </w:r>
          </w:p>
        </w:tc>
        <w:tc>
          <w:tcPr>
            <w:tcW w:w="1537" w:type="pct"/>
            <w:shd w:val="clear" w:color="auto" w:fill="E1E3F2"/>
          </w:tcPr>
          <w:p w14:paraId="1617F7A1" w14:textId="071F811F" w:rsidR="00383E8C" w:rsidRPr="00561BA0" w:rsidRDefault="00383E8C" w:rsidP="002A4BE3">
            <w:pPr>
              <w:pStyle w:val="TabletextrowsAgency"/>
            </w:pPr>
          </w:p>
        </w:tc>
      </w:tr>
      <w:tr w:rsidR="00517D4F" w:rsidRPr="00B822FC" w14:paraId="34180589" w14:textId="77777777" w:rsidTr="0067610E">
        <w:tc>
          <w:tcPr>
            <w:tcW w:w="645" w:type="pct"/>
            <w:shd w:val="clear" w:color="auto" w:fill="E1E3F2"/>
          </w:tcPr>
          <w:p w14:paraId="65C4AD75" w14:textId="188CF634" w:rsidR="00517D4F" w:rsidRDefault="00517D4F" w:rsidP="002A4BE3">
            <w:pPr>
              <w:pStyle w:val="TabletextrowsAgency"/>
            </w:pPr>
            <w:r>
              <w:t>Line 546</w:t>
            </w:r>
          </w:p>
        </w:tc>
        <w:tc>
          <w:tcPr>
            <w:tcW w:w="812" w:type="pct"/>
            <w:shd w:val="clear" w:color="auto" w:fill="E1E3F2"/>
          </w:tcPr>
          <w:p w14:paraId="453F3BCB" w14:textId="77777777" w:rsidR="00517D4F" w:rsidRDefault="00517D4F" w:rsidP="002A4BE3">
            <w:pPr>
              <w:pStyle w:val="TabletextrowsAgency"/>
            </w:pPr>
          </w:p>
        </w:tc>
        <w:tc>
          <w:tcPr>
            <w:tcW w:w="2006" w:type="pct"/>
            <w:shd w:val="clear" w:color="auto" w:fill="E1E3F2"/>
          </w:tcPr>
          <w:p w14:paraId="25E5AFDE" w14:textId="23AFE186" w:rsidR="00517D4F" w:rsidRPr="00383E8C" w:rsidRDefault="00517D4F" w:rsidP="00517D4F">
            <w:pPr>
              <w:pStyle w:val="TabletextrowsAgency"/>
            </w:pPr>
            <w:r>
              <w:t>It is unclear exactly what is required by the following sentence. “</w:t>
            </w:r>
            <w:r w:rsidRPr="00383E8C">
              <w:t xml:space="preserve">Additionally, monitoring “at rest” should be performed as appropriate in order to identify potential incidents (e.g. </w:t>
            </w:r>
            <w:r>
              <w:t>prior to</w:t>
            </w:r>
            <w:r w:rsidRPr="00383E8C">
              <w:t xml:space="preserve"> the start of manufacturing and post sanitization)</w:t>
            </w:r>
            <w:r>
              <w:t>”. Should be re-worded to clarify is this is intended as a routine task or as required.</w:t>
            </w:r>
          </w:p>
        </w:tc>
        <w:tc>
          <w:tcPr>
            <w:tcW w:w="1537" w:type="pct"/>
            <w:shd w:val="clear" w:color="auto" w:fill="E1E3F2"/>
          </w:tcPr>
          <w:p w14:paraId="7798984F" w14:textId="77777777" w:rsidR="00517D4F" w:rsidRDefault="00517D4F" w:rsidP="002A4BE3">
            <w:pPr>
              <w:pStyle w:val="TabletextrowsAgency"/>
            </w:pPr>
          </w:p>
        </w:tc>
      </w:tr>
      <w:tr w:rsidR="00822AE1" w:rsidRPr="00822AE1" w14:paraId="36ED882B" w14:textId="77777777" w:rsidTr="00822AE1">
        <w:tc>
          <w:tcPr>
            <w:tcW w:w="645" w:type="pct"/>
            <w:shd w:val="clear" w:color="auto" w:fill="E1E3F2"/>
          </w:tcPr>
          <w:p w14:paraId="2437D074" w14:textId="669E1D29" w:rsidR="00822AE1" w:rsidRDefault="00822AE1" w:rsidP="002A4BE3">
            <w:pPr>
              <w:pStyle w:val="TabletextrowsAgency"/>
            </w:pPr>
            <w:r>
              <w:t>Line 601</w:t>
            </w:r>
          </w:p>
        </w:tc>
        <w:tc>
          <w:tcPr>
            <w:tcW w:w="812" w:type="pct"/>
            <w:shd w:val="clear" w:color="auto" w:fill="E1E3F2"/>
          </w:tcPr>
          <w:p w14:paraId="0C44BD72" w14:textId="77777777" w:rsidR="00822AE1" w:rsidRDefault="00822AE1" w:rsidP="002A4BE3">
            <w:pPr>
              <w:pStyle w:val="TabletextrowsAgency"/>
            </w:pPr>
          </w:p>
        </w:tc>
        <w:tc>
          <w:tcPr>
            <w:tcW w:w="2006" w:type="pct"/>
            <w:shd w:val="clear" w:color="auto" w:fill="E1E3F2"/>
          </w:tcPr>
          <w:p w14:paraId="23333CA2" w14:textId="6971FD22" w:rsidR="00822AE1" w:rsidRDefault="00822AE1" w:rsidP="00383E8C">
            <w:pPr>
              <w:pStyle w:val="TabletextrowsAgency"/>
            </w:pPr>
            <w:r>
              <w:t xml:space="preserve">Remove </w:t>
            </w:r>
            <w:r w:rsidRPr="00822AE1">
              <w:rPr>
                <w:strike/>
                <w:color w:val="FF0000"/>
              </w:rPr>
              <w:t>“(Average Values):”</w:t>
            </w:r>
          </w:p>
          <w:p w14:paraId="442486F2" w14:textId="6199F860" w:rsidR="00822AE1" w:rsidRDefault="00822AE1" w:rsidP="00383E8C">
            <w:pPr>
              <w:pStyle w:val="TabletextrowsAgency"/>
            </w:pPr>
            <w:r>
              <w:t>There is no accepted standard on how to apply an average (e.g. per session, per week or a longer trend period) and does not make sense from a microbiological trending perspective.</w:t>
            </w:r>
          </w:p>
        </w:tc>
        <w:tc>
          <w:tcPr>
            <w:tcW w:w="1537" w:type="pct"/>
            <w:shd w:val="clear" w:color="auto" w:fill="E1E3F2"/>
          </w:tcPr>
          <w:p w14:paraId="4859C529" w14:textId="367AE0C9" w:rsidR="00822AE1" w:rsidRDefault="00822AE1" w:rsidP="002A4BE3">
            <w:pPr>
              <w:pStyle w:val="TabletextrowsAgency"/>
            </w:pPr>
          </w:p>
        </w:tc>
      </w:tr>
      <w:tr w:rsidR="00822AE1" w:rsidRPr="00822AE1" w14:paraId="72772311" w14:textId="77777777" w:rsidTr="00822AE1">
        <w:tc>
          <w:tcPr>
            <w:tcW w:w="645" w:type="pct"/>
            <w:shd w:val="clear" w:color="auto" w:fill="E1E3F2"/>
          </w:tcPr>
          <w:p w14:paraId="6EE22E57" w14:textId="7DFDF8B1" w:rsidR="00822AE1" w:rsidRDefault="00822AE1" w:rsidP="002A4BE3">
            <w:pPr>
              <w:pStyle w:val="TabletextrowsAgency"/>
            </w:pPr>
            <w:r>
              <w:t>Line 603</w:t>
            </w:r>
          </w:p>
        </w:tc>
        <w:tc>
          <w:tcPr>
            <w:tcW w:w="812" w:type="pct"/>
            <w:shd w:val="clear" w:color="auto" w:fill="E1E3F2"/>
          </w:tcPr>
          <w:p w14:paraId="7618C486" w14:textId="77777777" w:rsidR="00822AE1" w:rsidRDefault="00822AE1" w:rsidP="002A4BE3">
            <w:pPr>
              <w:pStyle w:val="TabletextrowsAgency"/>
            </w:pPr>
          </w:p>
        </w:tc>
        <w:tc>
          <w:tcPr>
            <w:tcW w:w="2006" w:type="pct"/>
            <w:shd w:val="clear" w:color="auto" w:fill="E1E3F2"/>
          </w:tcPr>
          <w:p w14:paraId="19DAF98B" w14:textId="2F5090CF" w:rsidR="00822AE1" w:rsidRDefault="00822AE1" w:rsidP="00383E8C">
            <w:pPr>
              <w:pStyle w:val="TabletextrowsAgency"/>
            </w:pPr>
            <w:r>
              <w:t xml:space="preserve">Appropriate alert limits should also be defined. Consider rewording ; </w:t>
            </w:r>
          </w:p>
          <w:p w14:paraId="2F3851E0" w14:textId="649297DE" w:rsidR="00822AE1" w:rsidRDefault="00822AE1" w:rsidP="00822AE1">
            <w:pPr>
              <w:pStyle w:val="TabletextrowsAgency"/>
            </w:pPr>
            <w:r>
              <w:rPr>
                <w:color w:val="0070C0"/>
              </w:rPr>
              <w:t>“</w:t>
            </w:r>
            <w:r w:rsidRPr="00822AE1">
              <w:rPr>
                <w:color w:val="0070C0"/>
              </w:rPr>
              <w:t>Appropriate alert and action limits should be defined. If action limits are exceeded, appropriate corrective actions should be taken. These should be documented.</w:t>
            </w:r>
            <w:r>
              <w:rPr>
                <w:color w:val="0070C0"/>
              </w:rPr>
              <w:t>”</w:t>
            </w:r>
          </w:p>
        </w:tc>
        <w:tc>
          <w:tcPr>
            <w:tcW w:w="1537" w:type="pct"/>
            <w:shd w:val="clear" w:color="auto" w:fill="E1E3F2"/>
          </w:tcPr>
          <w:p w14:paraId="1EA9C855" w14:textId="230E5005" w:rsidR="00822AE1" w:rsidRDefault="00822AE1" w:rsidP="002A4BE3">
            <w:pPr>
              <w:pStyle w:val="TabletextrowsAgency"/>
            </w:pPr>
          </w:p>
        </w:tc>
      </w:tr>
      <w:tr w:rsidR="002A4BE3" w:rsidRPr="00B822FC" w14:paraId="63987101" w14:textId="77777777" w:rsidTr="0067610E">
        <w:tc>
          <w:tcPr>
            <w:tcW w:w="645" w:type="pct"/>
            <w:shd w:val="clear" w:color="auto" w:fill="E1E3F2"/>
          </w:tcPr>
          <w:p w14:paraId="3F041D81" w14:textId="494A3D6D" w:rsidR="002A4BE3" w:rsidRDefault="002A4BE3" w:rsidP="002A4BE3">
            <w:pPr>
              <w:pStyle w:val="TabletextrowsAgency"/>
            </w:pPr>
            <w:r>
              <w:t>Lines 660-661</w:t>
            </w:r>
          </w:p>
        </w:tc>
        <w:tc>
          <w:tcPr>
            <w:tcW w:w="812" w:type="pct"/>
            <w:shd w:val="clear" w:color="auto" w:fill="E1E3F2"/>
          </w:tcPr>
          <w:p w14:paraId="1BECB29C" w14:textId="77777777" w:rsidR="002A4BE3" w:rsidRDefault="002A4BE3" w:rsidP="002A4BE3">
            <w:pPr>
              <w:pStyle w:val="TabletextrowsAgency"/>
            </w:pPr>
          </w:p>
        </w:tc>
        <w:tc>
          <w:tcPr>
            <w:tcW w:w="2006" w:type="pct"/>
            <w:shd w:val="clear" w:color="auto" w:fill="E1E3F2"/>
          </w:tcPr>
          <w:p w14:paraId="628CCEDB" w14:textId="5A8968DB" w:rsidR="002A4BE3" w:rsidRDefault="002A4BE3" w:rsidP="002A4BE3">
            <w:pPr>
              <w:pStyle w:val="TabletextrowsAgency"/>
            </w:pPr>
            <w:r>
              <w:t xml:space="preserve">Comment: Aseptic connections can also be done by </w:t>
            </w:r>
            <w:r w:rsidR="00436315">
              <w:t xml:space="preserve">closed systems such as </w:t>
            </w:r>
            <w:r>
              <w:t>sterile tube welding (functionally closed systems) which do not need a grade A in B. Current wording is too categorical.</w:t>
            </w:r>
          </w:p>
          <w:p w14:paraId="4EE88CA3" w14:textId="77777777" w:rsidR="002A4BE3" w:rsidRPr="00B822FC" w:rsidRDefault="002A4BE3" w:rsidP="002A4BE3">
            <w:pPr>
              <w:pStyle w:val="TabletextrowsAgency"/>
            </w:pPr>
            <w:r>
              <w:t>Proposed change</w:t>
            </w:r>
            <w:r w:rsidRPr="00B822FC">
              <w:t>:</w:t>
            </w:r>
            <w:r>
              <w:t xml:space="preserve"> Add</w:t>
            </w:r>
          </w:p>
          <w:p w14:paraId="4A682454" w14:textId="45F26CA9" w:rsidR="002A4BE3" w:rsidRPr="00F1214A" w:rsidRDefault="002A4BE3" w:rsidP="00436315">
            <w:pPr>
              <w:pStyle w:val="TabletextrowsAgency"/>
              <w:rPr>
                <w:color w:val="0070C0"/>
              </w:rPr>
            </w:pPr>
            <w:r w:rsidRPr="00F1214A">
              <w:rPr>
                <w:color w:val="0070C0"/>
              </w:rPr>
              <w:t xml:space="preserve">Aseptic connections can also be </w:t>
            </w:r>
            <w:r w:rsidR="00436315">
              <w:rPr>
                <w:color w:val="0070C0"/>
              </w:rPr>
              <w:t>made using a functionally closed system such as</w:t>
            </w:r>
            <w:r w:rsidRPr="00F1214A">
              <w:rPr>
                <w:color w:val="0070C0"/>
              </w:rPr>
              <w:t xml:space="preserve"> sterile tube welding.</w:t>
            </w:r>
          </w:p>
        </w:tc>
        <w:tc>
          <w:tcPr>
            <w:tcW w:w="1537" w:type="pct"/>
            <w:shd w:val="clear" w:color="auto" w:fill="E1E3F2"/>
          </w:tcPr>
          <w:p w14:paraId="18467F90" w14:textId="772090DA" w:rsidR="002A4BE3" w:rsidRPr="00561BA0" w:rsidRDefault="002A4BE3" w:rsidP="002A4BE3">
            <w:pPr>
              <w:pStyle w:val="TabletextrowsAgency"/>
            </w:pPr>
          </w:p>
        </w:tc>
      </w:tr>
      <w:tr w:rsidR="002A4BE3" w:rsidRPr="00B822FC" w14:paraId="26C6A6CC" w14:textId="77777777" w:rsidTr="0067610E">
        <w:tc>
          <w:tcPr>
            <w:tcW w:w="645" w:type="pct"/>
            <w:shd w:val="clear" w:color="auto" w:fill="E1E3F2"/>
          </w:tcPr>
          <w:p w14:paraId="6A342E51" w14:textId="793488B3" w:rsidR="002A4BE3" w:rsidRDefault="002A4BE3" w:rsidP="002A4BE3">
            <w:pPr>
              <w:pStyle w:val="TabletextrowsAgency"/>
            </w:pPr>
            <w:r>
              <w:t>Lines 765-766</w:t>
            </w:r>
          </w:p>
        </w:tc>
        <w:tc>
          <w:tcPr>
            <w:tcW w:w="812" w:type="pct"/>
            <w:shd w:val="clear" w:color="auto" w:fill="E1E3F2"/>
          </w:tcPr>
          <w:p w14:paraId="6EE1DC66" w14:textId="77777777" w:rsidR="002A4BE3" w:rsidRDefault="002A4BE3" w:rsidP="002A4BE3">
            <w:pPr>
              <w:pStyle w:val="TabletextrowsAgency"/>
            </w:pPr>
          </w:p>
        </w:tc>
        <w:tc>
          <w:tcPr>
            <w:tcW w:w="2006" w:type="pct"/>
            <w:shd w:val="clear" w:color="auto" w:fill="E1E3F2"/>
          </w:tcPr>
          <w:p w14:paraId="5505FEEC" w14:textId="44318048" w:rsidR="00AA3FB2" w:rsidRDefault="002A4BE3" w:rsidP="002A4BE3">
            <w:pPr>
              <w:pStyle w:val="TabletextrowsAgency"/>
            </w:pPr>
            <w:r>
              <w:t xml:space="preserve">Comment: </w:t>
            </w:r>
            <w:r w:rsidR="00AA3FB2">
              <w:t>Batch Definition, should be changed or removed.</w:t>
            </w:r>
          </w:p>
          <w:p w14:paraId="69D1225F" w14:textId="5CE9DA03" w:rsidR="002A4BE3" w:rsidRDefault="002A4BE3" w:rsidP="002A4BE3">
            <w:pPr>
              <w:pStyle w:val="TabletextrowsAgency"/>
            </w:pPr>
            <w:r>
              <w:t xml:space="preserve">Imagine an autologous bulk product is filled into a series of 10 cryovials and cryopreserved. Why should each </w:t>
            </w:r>
            <w:r w:rsidRPr="00986334">
              <w:t>unit</w:t>
            </w:r>
            <w:r>
              <w:t xml:space="preserve"> (cryovial) be considered a distinct batch</w:t>
            </w:r>
            <w:r w:rsidR="00AA3FB2">
              <w:t xml:space="preserve"> as they would be manufactured in a single process producing a uniform product </w:t>
            </w:r>
            <w:r>
              <w:t>?</w:t>
            </w:r>
          </w:p>
          <w:p w14:paraId="17209751" w14:textId="77777777" w:rsidR="002A4BE3" w:rsidRDefault="002A4BE3" w:rsidP="002A4BE3">
            <w:pPr>
              <w:pStyle w:val="TabletextrowsAgency"/>
            </w:pPr>
            <w:r>
              <w:t>Proposed change</w:t>
            </w:r>
            <w:r w:rsidRPr="00B822FC">
              <w:t>:</w:t>
            </w:r>
          </w:p>
          <w:p w14:paraId="105CB07C" w14:textId="77777777" w:rsidR="002A4BE3" w:rsidRDefault="002A4BE3" w:rsidP="002A4BE3">
            <w:pPr>
              <w:pStyle w:val="TabletextrowsAgency"/>
              <w:rPr>
                <w:color w:val="0070C0"/>
              </w:rPr>
            </w:pPr>
            <w:r>
              <w:t xml:space="preserve">Batch definition. </w:t>
            </w:r>
            <w:r w:rsidRPr="00A14B68">
              <w:rPr>
                <w:strike/>
                <w:color w:val="FF0000"/>
              </w:rPr>
              <w:t>For autologous products, each unit should be considered a distinct batch.</w:t>
            </w:r>
            <w:r w:rsidRPr="00A14B68">
              <w:t xml:space="preserve"> </w:t>
            </w:r>
            <w:r w:rsidRPr="00A14B68">
              <w:rPr>
                <w:color w:val="0070C0"/>
              </w:rPr>
              <w:t>A defined quantity of starting material, packaging material or product processed in one process</w:t>
            </w:r>
            <w:r>
              <w:rPr>
                <w:color w:val="0070C0"/>
              </w:rPr>
              <w:t xml:space="preserve"> </w:t>
            </w:r>
            <w:r w:rsidRPr="00A14B68">
              <w:rPr>
                <w:color w:val="0070C0"/>
              </w:rPr>
              <w:t xml:space="preserve">or </w:t>
            </w:r>
            <w:r>
              <w:rPr>
                <w:color w:val="0070C0"/>
              </w:rPr>
              <w:t xml:space="preserve">single </w:t>
            </w:r>
            <w:r w:rsidRPr="00A14B68">
              <w:rPr>
                <w:color w:val="0070C0"/>
              </w:rPr>
              <w:t xml:space="preserve">series of </w:t>
            </w:r>
            <w:r>
              <w:rPr>
                <w:color w:val="0070C0"/>
              </w:rPr>
              <w:t>manufacturing operations (incl. a single series of sterilisation operations)</w:t>
            </w:r>
            <w:r w:rsidRPr="00A14B68">
              <w:rPr>
                <w:color w:val="0070C0"/>
              </w:rPr>
              <w:t xml:space="preserve"> so that it could be expected to be homogeneous.</w:t>
            </w:r>
          </w:p>
          <w:p w14:paraId="5859BB1E" w14:textId="265BFB6F" w:rsidR="00AA3FB2" w:rsidRDefault="00AA3FB2" w:rsidP="002A4BE3">
            <w:pPr>
              <w:pStyle w:val="TabletextrowsAgency"/>
            </w:pPr>
            <w:r w:rsidRPr="002A6A38">
              <w:t>Alternatively delete lines 765-766.</w:t>
            </w:r>
          </w:p>
        </w:tc>
        <w:tc>
          <w:tcPr>
            <w:tcW w:w="1537" w:type="pct"/>
            <w:shd w:val="clear" w:color="auto" w:fill="E1E3F2"/>
          </w:tcPr>
          <w:p w14:paraId="056C4CB0" w14:textId="22A91222" w:rsidR="002A4BE3" w:rsidRPr="00561BA0" w:rsidRDefault="002A4BE3" w:rsidP="002A4BE3">
            <w:pPr>
              <w:pStyle w:val="TabletextrowsAgency"/>
            </w:pPr>
          </w:p>
        </w:tc>
      </w:tr>
      <w:tr w:rsidR="00436315" w:rsidRPr="00B822FC" w14:paraId="2F5599B7" w14:textId="77777777" w:rsidTr="0067610E">
        <w:tc>
          <w:tcPr>
            <w:tcW w:w="645" w:type="pct"/>
            <w:shd w:val="clear" w:color="auto" w:fill="E1E3F2"/>
          </w:tcPr>
          <w:p w14:paraId="2916ADE7" w14:textId="1E683760" w:rsidR="00436315" w:rsidRDefault="00436315" w:rsidP="002A4BE3">
            <w:pPr>
              <w:pStyle w:val="TabletextrowsAgency"/>
            </w:pPr>
            <w:r>
              <w:t>Line 786 to 799</w:t>
            </w:r>
          </w:p>
        </w:tc>
        <w:tc>
          <w:tcPr>
            <w:tcW w:w="812" w:type="pct"/>
            <w:shd w:val="clear" w:color="auto" w:fill="E1E3F2"/>
          </w:tcPr>
          <w:p w14:paraId="661A4EA8" w14:textId="77777777" w:rsidR="00436315" w:rsidRDefault="00436315" w:rsidP="002A4BE3">
            <w:pPr>
              <w:pStyle w:val="TabletextrowsAgency"/>
            </w:pPr>
          </w:p>
        </w:tc>
        <w:tc>
          <w:tcPr>
            <w:tcW w:w="2006" w:type="pct"/>
            <w:shd w:val="clear" w:color="auto" w:fill="E1E3F2"/>
          </w:tcPr>
          <w:p w14:paraId="1A4877C6" w14:textId="4BEF4089" w:rsidR="00436315" w:rsidRDefault="00341F05" w:rsidP="00341F05">
            <w:pPr>
              <w:pStyle w:val="TabletextrowsAgency"/>
            </w:pPr>
            <w:r>
              <w:t>This section does not clearly state the expected contents of the Product Specification or it’s purpose (to be a reference source for the QP to release against. An adaption of the current text in EU GMP, Section 9 of Annex 13 is recommended.</w:t>
            </w:r>
          </w:p>
        </w:tc>
        <w:tc>
          <w:tcPr>
            <w:tcW w:w="1537" w:type="pct"/>
            <w:shd w:val="clear" w:color="auto" w:fill="E1E3F2"/>
          </w:tcPr>
          <w:p w14:paraId="69279A41" w14:textId="2B72CD0F" w:rsidR="00436315" w:rsidRDefault="00436315" w:rsidP="002A4BE3">
            <w:pPr>
              <w:pStyle w:val="TabletextrowsAgency"/>
            </w:pPr>
          </w:p>
        </w:tc>
      </w:tr>
      <w:tr w:rsidR="00341F05" w:rsidRPr="00B822FC" w14:paraId="602A58D8" w14:textId="77777777" w:rsidTr="0067610E">
        <w:tc>
          <w:tcPr>
            <w:tcW w:w="645" w:type="pct"/>
            <w:shd w:val="clear" w:color="auto" w:fill="E1E3F2"/>
          </w:tcPr>
          <w:p w14:paraId="23F1E058" w14:textId="6A9BBE64" w:rsidR="00341F05" w:rsidRDefault="00341F05" w:rsidP="002A4BE3">
            <w:pPr>
              <w:pStyle w:val="TabletextrowsAgency"/>
            </w:pPr>
            <w:r>
              <w:t>Line 861 to 863</w:t>
            </w:r>
          </w:p>
        </w:tc>
        <w:tc>
          <w:tcPr>
            <w:tcW w:w="812" w:type="pct"/>
            <w:shd w:val="clear" w:color="auto" w:fill="E1E3F2"/>
          </w:tcPr>
          <w:p w14:paraId="113859A0" w14:textId="77777777" w:rsidR="00341F05" w:rsidRDefault="00341F05" w:rsidP="002A4BE3">
            <w:pPr>
              <w:pStyle w:val="TabletextrowsAgency"/>
            </w:pPr>
          </w:p>
        </w:tc>
        <w:tc>
          <w:tcPr>
            <w:tcW w:w="2006" w:type="pct"/>
            <w:shd w:val="clear" w:color="auto" w:fill="E1E3F2"/>
          </w:tcPr>
          <w:p w14:paraId="39D317CE" w14:textId="648B01DA" w:rsidR="00341F05" w:rsidRDefault="00341F05" w:rsidP="00341F05">
            <w:pPr>
              <w:pStyle w:val="TabletextrowsAgency"/>
            </w:pPr>
            <w:r>
              <w:t>This sentence states that a Site Master File is required for every site involved in authorised ATMP’s. Does this mean that SMF is not required for sites only manufacturing investigational ATMP’s? It may be clearer to state that this is the case. It is currently expected that an SMF is prepared for all site license applications for IMP’s and prior to inspections.</w:t>
            </w:r>
          </w:p>
        </w:tc>
        <w:tc>
          <w:tcPr>
            <w:tcW w:w="1537" w:type="pct"/>
            <w:shd w:val="clear" w:color="auto" w:fill="E1E3F2"/>
          </w:tcPr>
          <w:p w14:paraId="72451B04" w14:textId="6E31888C" w:rsidR="00341F05" w:rsidRDefault="00341F05" w:rsidP="002A4BE3">
            <w:pPr>
              <w:pStyle w:val="TabletextrowsAgency"/>
            </w:pPr>
          </w:p>
        </w:tc>
      </w:tr>
      <w:tr w:rsidR="002A4BE3" w:rsidRPr="00B822FC" w14:paraId="4F5398F2" w14:textId="77777777" w:rsidTr="0067610E">
        <w:tc>
          <w:tcPr>
            <w:tcW w:w="645" w:type="pct"/>
            <w:shd w:val="clear" w:color="auto" w:fill="E1E3F2"/>
          </w:tcPr>
          <w:p w14:paraId="2DF9B60E" w14:textId="4FF16B50" w:rsidR="002A4BE3" w:rsidRDefault="002A4BE3" w:rsidP="002A4BE3">
            <w:pPr>
              <w:pStyle w:val="TabletextrowsAgency"/>
            </w:pPr>
            <w:r>
              <w:t>(Line 929), foot note 14</w:t>
            </w:r>
          </w:p>
        </w:tc>
        <w:tc>
          <w:tcPr>
            <w:tcW w:w="812" w:type="pct"/>
            <w:shd w:val="clear" w:color="auto" w:fill="E1E3F2"/>
          </w:tcPr>
          <w:p w14:paraId="5FC9F7AC" w14:textId="77777777" w:rsidR="002A4BE3" w:rsidRDefault="002A4BE3" w:rsidP="002A4BE3">
            <w:pPr>
              <w:pStyle w:val="TabletextrowsAgency"/>
            </w:pPr>
          </w:p>
        </w:tc>
        <w:tc>
          <w:tcPr>
            <w:tcW w:w="2006" w:type="pct"/>
            <w:shd w:val="clear" w:color="auto" w:fill="E1E3F2"/>
          </w:tcPr>
          <w:p w14:paraId="622F715A" w14:textId="77777777" w:rsidR="002A4BE3" w:rsidRDefault="002A4BE3" w:rsidP="002A4BE3">
            <w:pPr>
              <w:pStyle w:val="TabletextrowsAgency"/>
            </w:pPr>
            <w:r>
              <w:t>Comment: 2.6.12 is on bioburden – not sterility</w:t>
            </w:r>
          </w:p>
          <w:p w14:paraId="511C6ACD" w14:textId="77777777" w:rsidR="002A4BE3" w:rsidRDefault="002A4BE3" w:rsidP="002A4BE3">
            <w:pPr>
              <w:pStyle w:val="TabletextrowsAgency"/>
            </w:pPr>
            <w:r>
              <w:t>Proposed change</w:t>
            </w:r>
            <w:r w:rsidRPr="00B822FC">
              <w:t>:</w:t>
            </w:r>
          </w:p>
          <w:p w14:paraId="4A3A23E5" w14:textId="77777777" w:rsidR="002A4BE3" w:rsidRDefault="002A4BE3" w:rsidP="002A4BE3">
            <w:pPr>
              <w:pStyle w:val="TabletextrowsAgency"/>
            </w:pPr>
            <w:r w:rsidRPr="000F2321">
              <w:t>Ph.Eur. chapter 2.6.1</w:t>
            </w:r>
            <w:r w:rsidRPr="000F2321">
              <w:rPr>
                <w:strike/>
                <w:color w:val="FF0000"/>
              </w:rPr>
              <w:t>2</w:t>
            </w:r>
            <w:r w:rsidRPr="000F2321">
              <w:t xml:space="preserve"> on sterility testing describes the use of neutralising substances for products containing antibiotics.</w:t>
            </w:r>
          </w:p>
        </w:tc>
        <w:tc>
          <w:tcPr>
            <w:tcW w:w="1537" w:type="pct"/>
            <w:shd w:val="clear" w:color="auto" w:fill="E1E3F2"/>
          </w:tcPr>
          <w:p w14:paraId="337FF7D6" w14:textId="7D50435D" w:rsidR="002A4BE3" w:rsidRPr="00561BA0" w:rsidRDefault="002A4BE3" w:rsidP="002A4BE3">
            <w:pPr>
              <w:pStyle w:val="TabletextrowsAgency"/>
            </w:pPr>
          </w:p>
        </w:tc>
      </w:tr>
      <w:tr w:rsidR="002A4BE3" w:rsidRPr="00B822FC" w14:paraId="768FE29F" w14:textId="77777777" w:rsidTr="0067610E">
        <w:tc>
          <w:tcPr>
            <w:tcW w:w="645" w:type="pct"/>
            <w:shd w:val="clear" w:color="auto" w:fill="E1E3F2"/>
          </w:tcPr>
          <w:p w14:paraId="551F4B56" w14:textId="6CE9CDC3" w:rsidR="002A4BE3" w:rsidRDefault="002A4BE3" w:rsidP="002A4BE3">
            <w:pPr>
              <w:pStyle w:val="TabletextrowsAgency"/>
            </w:pPr>
            <w:r>
              <w:t>Lines 957</w:t>
            </w:r>
          </w:p>
        </w:tc>
        <w:tc>
          <w:tcPr>
            <w:tcW w:w="812" w:type="pct"/>
            <w:shd w:val="clear" w:color="auto" w:fill="E1E3F2"/>
          </w:tcPr>
          <w:p w14:paraId="2C9A10C3" w14:textId="77777777" w:rsidR="002A4BE3" w:rsidRDefault="002A4BE3" w:rsidP="002A4BE3">
            <w:pPr>
              <w:pStyle w:val="TabletextrowsAgency"/>
            </w:pPr>
          </w:p>
        </w:tc>
        <w:tc>
          <w:tcPr>
            <w:tcW w:w="2006" w:type="pct"/>
            <w:shd w:val="clear" w:color="auto" w:fill="E1E3F2"/>
          </w:tcPr>
          <w:p w14:paraId="2D81DF9C" w14:textId="77777777" w:rsidR="002A4BE3" w:rsidRDefault="002A4BE3" w:rsidP="002A4BE3">
            <w:pPr>
              <w:pStyle w:val="TabletextrowsAgency"/>
            </w:pPr>
            <w:r>
              <w:t>Comment: It would be helpful to clarify expectations on identity testing.</w:t>
            </w:r>
          </w:p>
          <w:p w14:paraId="6A6C242F" w14:textId="77777777" w:rsidR="002A4BE3" w:rsidRDefault="002A4BE3" w:rsidP="002A4BE3">
            <w:pPr>
              <w:pStyle w:val="TabletextrowsAgency"/>
            </w:pPr>
            <w:r>
              <w:t>Proposed change</w:t>
            </w:r>
            <w:r w:rsidRPr="00B822FC">
              <w:t>:</w:t>
            </w:r>
            <w:r>
              <w:t xml:space="preserve"> Add</w:t>
            </w:r>
          </w:p>
          <w:p w14:paraId="51B507F9" w14:textId="04AB2245" w:rsidR="002A4BE3" w:rsidRPr="005D0B82" w:rsidRDefault="002A4BE3" w:rsidP="002A4BE3">
            <w:pPr>
              <w:pStyle w:val="TabletextrowsAgency"/>
              <w:rPr>
                <w:color w:val="0070C0"/>
              </w:rPr>
            </w:pPr>
            <w:r w:rsidRPr="005D0B82">
              <w:rPr>
                <w:color w:val="0070C0"/>
              </w:rPr>
              <w:t>For raw materials and excipients authorised as medicinal product</w:t>
            </w:r>
            <w:r w:rsidR="00E06257">
              <w:rPr>
                <w:color w:val="0070C0"/>
              </w:rPr>
              <w:t>s</w:t>
            </w:r>
            <w:r w:rsidRPr="005D0B82">
              <w:rPr>
                <w:color w:val="0070C0"/>
              </w:rPr>
              <w:t xml:space="preserve"> or bearing a medical device CE-mark identity testing is not be required.</w:t>
            </w:r>
          </w:p>
        </w:tc>
        <w:tc>
          <w:tcPr>
            <w:tcW w:w="1537" w:type="pct"/>
            <w:shd w:val="clear" w:color="auto" w:fill="E1E3F2"/>
          </w:tcPr>
          <w:p w14:paraId="28FFC0B0" w14:textId="027D1325" w:rsidR="002A4BE3" w:rsidRPr="00561BA0" w:rsidRDefault="002A4BE3" w:rsidP="002A4BE3">
            <w:pPr>
              <w:pStyle w:val="TabletextrowsAgency"/>
            </w:pPr>
          </w:p>
        </w:tc>
      </w:tr>
      <w:tr w:rsidR="002A4BE3" w:rsidRPr="00B822FC" w14:paraId="72CE9D65" w14:textId="77777777" w:rsidTr="0067610E">
        <w:tc>
          <w:tcPr>
            <w:tcW w:w="645" w:type="pct"/>
            <w:shd w:val="clear" w:color="auto" w:fill="E1E3F2"/>
          </w:tcPr>
          <w:p w14:paraId="08F5E0EE" w14:textId="114A52B1" w:rsidR="002A4BE3" w:rsidRDefault="002A4BE3" w:rsidP="002A4BE3">
            <w:pPr>
              <w:pStyle w:val="TabletextrowsAgency"/>
            </w:pPr>
            <w:r>
              <w:t>Line 1205</w:t>
            </w:r>
          </w:p>
        </w:tc>
        <w:tc>
          <w:tcPr>
            <w:tcW w:w="812" w:type="pct"/>
            <w:shd w:val="clear" w:color="auto" w:fill="E1E3F2"/>
          </w:tcPr>
          <w:p w14:paraId="5BC2C4FB" w14:textId="77777777" w:rsidR="002A4BE3" w:rsidRDefault="002A4BE3" w:rsidP="002A4BE3">
            <w:pPr>
              <w:pStyle w:val="TabletextrowsAgency"/>
            </w:pPr>
          </w:p>
        </w:tc>
        <w:tc>
          <w:tcPr>
            <w:tcW w:w="2006" w:type="pct"/>
            <w:shd w:val="clear" w:color="auto" w:fill="E1E3F2"/>
          </w:tcPr>
          <w:p w14:paraId="5A0BA5B4" w14:textId="77777777" w:rsidR="002A4BE3" w:rsidRDefault="002A4BE3" w:rsidP="002A4BE3">
            <w:pPr>
              <w:pStyle w:val="TabletextrowsAgency"/>
            </w:pPr>
            <w:r>
              <w:t>Comment: The urge to use gasses compliant with EP will in some cases increase costs unnecessarily. Higher (than EP) technical grades are often available but come without a costly batch specific certificate (so not EP grade). EP-grade gas should not be required for CO</w:t>
            </w:r>
            <w:r w:rsidRPr="007C5B96">
              <w:rPr>
                <w:vertAlign w:val="subscript"/>
              </w:rPr>
              <w:t>2</w:t>
            </w:r>
            <w:r>
              <w:t>-incubators.</w:t>
            </w:r>
          </w:p>
          <w:p w14:paraId="0BE0C00A" w14:textId="77777777" w:rsidR="002A4BE3" w:rsidRDefault="002A4BE3" w:rsidP="002A4BE3">
            <w:pPr>
              <w:pStyle w:val="TabletextrowsAgency"/>
            </w:pPr>
            <w:r>
              <w:t>Proposed change</w:t>
            </w:r>
            <w:r w:rsidRPr="00B822FC">
              <w:t>:</w:t>
            </w:r>
          </w:p>
          <w:p w14:paraId="4833E459" w14:textId="77777777" w:rsidR="002A4BE3" w:rsidRDefault="002A4BE3" w:rsidP="002A4BE3">
            <w:pPr>
              <w:pStyle w:val="TabletextrowsAgency"/>
            </w:pPr>
            <w:r w:rsidRPr="00DB5274">
              <w:t xml:space="preserve">Where </w:t>
            </w:r>
            <w:r w:rsidRPr="00DB5274">
              <w:rPr>
                <w:strike/>
                <w:color w:val="FF0000"/>
              </w:rPr>
              <w:t>possible</w:t>
            </w:r>
            <w:r>
              <w:t xml:space="preserve"> </w:t>
            </w:r>
            <w:r w:rsidRPr="00DB5274">
              <w:rPr>
                <w:color w:val="0070C0"/>
              </w:rPr>
              <w:t>supported by documented risk assessment</w:t>
            </w:r>
            <w:r w:rsidRPr="00DB5274">
              <w:t xml:space="preserve">, gasses </w:t>
            </w:r>
            <w:r w:rsidRPr="00DB5274">
              <w:rPr>
                <w:color w:val="0070C0"/>
              </w:rPr>
              <w:t>of technical grades can be used instead of those</w:t>
            </w:r>
            <w:r>
              <w:t xml:space="preserve"> </w:t>
            </w:r>
            <w:r w:rsidRPr="00DB5274">
              <w:t xml:space="preserve">compliant with the European Pharmacopoeia </w:t>
            </w:r>
            <w:r w:rsidRPr="00DB5274">
              <w:rPr>
                <w:strike/>
                <w:color w:val="FF0000"/>
              </w:rPr>
              <w:t>should</w:t>
            </w:r>
            <w:r w:rsidRPr="00DB5274">
              <w:t xml:space="preserve"> </w:t>
            </w:r>
            <w:r w:rsidRPr="00DB5274">
              <w:rPr>
                <w:color w:val="0070C0"/>
              </w:rPr>
              <w:t>can</w:t>
            </w:r>
            <w:r>
              <w:t xml:space="preserve"> </w:t>
            </w:r>
            <w:r w:rsidRPr="00DB5274">
              <w:t>be used.</w:t>
            </w:r>
          </w:p>
        </w:tc>
        <w:tc>
          <w:tcPr>
            <w:tcW w:w="1537" w:type="pct"/>
            <w:shd w:val="clear" w:color="auto" w:fill="E1E3F2"/>
          </w:tcPr>
          <w:p w14:paraId="09CC0453" w14:textId="010754BC" w:rsidR="002A4BE3" w:rsidRPr="00561BA0" w:rsidRDefault="002A4BE3" w:rsidP="002A4BE3">
            <w:pPr>
              <w:pStyle w:val="TabletextrowsAgency"/>
            </w:pPr>
          </w:p>
        </w:tc>
      </w:tr>
      <w:tr w:rsidR="002A4BE3" w:rsidRPr="00B822FC" w14:paraId="06BE4AE5" w14:textId="77777777" w:rsidTr="0067610E">
        <w:tc>
          <w:tcPr>
            <w:tcW w:w="645" w:type="pct"/>
            <w:shd w:val="clear" w:color="auto" w:fill="E1E3F2"/>
          </w:tcPr>
          <w:p w14:paraId="7B792333" w14:textId="6AB3711D" w:rsidR="002A4BE3" w:rsidRDefault="002A4BE3" w:rsidP="002A4BE3">
            <w:pPr>
              <w:pStyle w:val="TabletextrowsAgency"/>
            </w:pPr>
            <w:r>
              <w:t>Lines 1271-1274</w:t>
            </w:r>
          </w:p>
        </w:tc>
        <w:tc>
          <w:tcPr>
            <w:tcW w:w="812" w:type="pct"/>
            <w:shd w:val="clear" w:color="auto" w:fill="E1E3F2"/>
          </w:tcPr>
          <w:p w14:paraId="714850F0" w14:textId="77777777" w:rsidR="002A4BE3" w:rsidRDefault="002A4BE3" w:rsidP="002A4BE3">
            <w:pPr>
              <w:pStyle w:val="TabletextrowsAgency"/>
            </w:pPr>
          </w:p>
        </w:tc>
        <w:tc>
          <w:tcPr>
            <w:tcW w:w="2006" w:type="pct"/>
            <w:shd w:val="clear" w:color="auto" w:fill="E1E3F2"/>
          </w:tcPr>
          <w:p w14:paraId="45CC08F5" w14:textId="77777777" w:rsidR="00AA3FB2" w:rsidRDefault="002A4BE3" w:rsidP="00B03032">
            <w:pPr>
              <w:pStyle w:val="TabletextrowsAgency"/>
            </w:pPr>
            <w:r>
              <w:t>Comment: The meaning of the sentence</w:t>
            </w:r>
            <w:r w:rsidR="00B03032">
              <w:t xml:space="preserve"> “Likewise …” is not clear, in particular the phrase “provided that there is separated expulsion of the exhausted air”. Does this mean isolator and/or biological safety cabinets must have 100% of their air exhausted out of the room and facility with no air recirculated? </w:t>
            </w:r>
          </w:p>
          <w:p w14:paraId="6E4D12C0" w14:textId="10469B3D" w:rsidR="00B03032" w:rsidRDefault="00AA3FB2" w:rsidP="00B03032">
            <w:pPr>
              <w:pStyle w:val="TabletextrowsAgency"/>
            </w:pPr>
            <w:r>
              <w:t>It is proposed that this risk w</w:t>
            </w:r>
            <w:r w:rsidR="00B03032">
              <w:t xml:space="preserve">ould this be mitigated if the exhaust air were double or triple filtered? </w:t>
            </w:r>
          </w:p>
          <w:p w14:paraId="7E55F94D" w14:textId="044BDE10" w:rsidR="002A4BE3" w:rsidRDefault="00B03032" w:rsidP="00AA3FB2">
            <w:pPr>
              <w:pStyle w:val="TabletextrowsAgency"/>
            </w:pPr>
            <w:r>
              <w:t xml:space="preserve">This section could benefit </w:t>
            </w:r>
            <w:r w:rsidR="00385F29">
              <w:t>by re-wording to make it clear what activities can be conducted in the same room.</w:t>
            </w:r>
          </w:p>
        </w:tc>
        <w:tc>
          <w:tcPr>
            <w:tcW w:w="1537" w:type="pct"/>
            <w:shd w:val="clear" w:color="auto" w:fill="E1E3F2"/>
          </w:tcPr>
          <w:p w14:paraId="4349F163" w14:textId="7E08C7C4" w:rsidR="002A4BE3" w:rsidRPr="00385F29" w:rsidRDefault="002A4BE3" w:rsidP="00B03032">
            <w:pPr>
              <w:pStyle w:val="TabletextrowsAgency"/>
              <w:rPr>
                <w:highlight w:val="yellow"/>
              </w:rPr>
            </w:pPr>
          </w:p>
        </w:tc>
      </w:tr>
      <w:tr w:rsidR="002A4BE3" w:rsidRPr="00B822FC" w14:paraId="20D1B9DA" w14:textId="77777777" w:rsidTr="0067610E">
        <w:tc>
          <w:tcPr>
            <w:tcW w:w="645" w:type="pct"/>
            <w:shd w:val="clear" w:color="auto" w:fill="E1E3F2"/>
          </w:tcPr>
          <w:p w14:paraId="4D4BE432" w14:textId="5C0F400C" w:rsidR="002A4BE3" w:rsidRDefault="002A4BE3" w:rsidP="002A4BE3">
            <w:pPr>
              <w:pStyle w:val="TabletextrowsAgency"/>
            </w:pPr>
            <w:r>
              <w:t>Lines 1296-1297</w:t>
            </w:r>
          </w:p>
        </w:tc>
        <w:tc>
          <w:tcPr>
            <w:tcW w:w="812" w:type="pct"/>
            <w:shd w:val="clear" w:color="auto" w:fill="E1E3F2"/>
          </w:tcPr>
          <w:p w14:paraId="737E240F" w14:textId="77777777" w:rsidR="002A4BE3" w:rsidRDefault="002A4BE3" w:rsidP="002A4BE3">
            <w:pPr>
              <w:pStyle w:val="TabletextrowsAgency"/>
            </w:pPr>
          </w:p>
        </w:tc>
        <w:tc>
          <w:tcPr>
            <w:tcW w:w="2006" w:type="pct"/>
            <w:shd w:val="clear" w:color="auto" w:fill="E1E3F2"/>
          </w:tcPr>
          <w:p w14:paraId="493A41BE" w14:textId="74A5FBDE" w:rsidR="002A4BE3" w:rsidRDefault="002A4BE3" w:rsidP="002A4BE3">
            <w:pPr>
              <w:pStyle w:val="TabletextrowsAgency"/>
            </w:pPr>
            <w:r>
              <w:t>Comment: M</w:t>
            </w:r>
            <w:r w:rsidR="006F2348">
              <w:t>ost</w:t>
            </w:r>
            <w:r>
              <w:t xml:space="preserve"> sterilised (single use) items are not available on the market with a number of wrappings commensurate with the number of stages (that may be 3-4 until they get into grade A). This is too strict a requirement.</w:t>
            </w:r>
          </w:p>
          <w:p w14:paraId="5AF8FE3F" w14:textId="77777777" w:rsidR="002A4BE3" w:rsidRDefault="002A4BE3" w:rsidP="002A4BE3">
            <w:pPr>
              <w:pStyle w:val="TabletextrowsAgency"/>
            </w:pPr>
            <w:r>
              <w:t>Proposed change</w:t>
            </w:r>
            <w:r w:rsidRPr="00B822FC">
              <w:t>:</w:t>
            </w:r>
          </w:p>
          <w:p w14:paraId="1D3EAA21" w14:textId="77777777" w:rsidR="002A4BE3" w:rsidRDefault="002A4BE3" w:rsidP="002A4BE3">
            <w:pPr>
              <w:pStyle w:val="TabletextrowsAgency"/>
            </w:pPr>
            <w:r w:rsidRPr="00E70A40">
              <w:t xml:space="preserve">Sterilisation of articles and materials elsewhere is acceptable provided that there are multiple wrappings, </w:t>
            </w:r>
            <w:r w:rsidRPr="00E70A40">
              <w:rPr>
                <w:color w:val="0070C0"/>
              </w:rPr>
              <w:t>if possible</w:t>
            </w:r>
            <w:r>
              <w:t xml:space="preserve"> </w:t>
            </w:r>
            <w:r w:rsidRPr="00E70A40">
              <w:t>as appropriate to the number of stages of entry to the clean area,</w:t>
            </w:r>
            <w:r>
              <w:t>…</w:t>
            </w:r>
          </w:p>
        </w:tc>
        <w:tc>
          <w:tcPr>
            <w:tcW w:w="1537" w:type="pct"/>
            <w:shd w:val="clear" w:color="auto" w:fill="E1E3F2"/>
          </w:tcPr>
          <w:p w14:paraId="08117568" w14:textId="689B041E" w:rsidR="002A4BE3" w:rsidRPr="00561BA0" w:rsidRDefault="002A4BE3" w:rsidP="002A4BE3">
            <w:pPr>
              <w:pStyle w:val="TabletextrowsAgency"/>
            </w:pPr>
          </w:p>
        </w:tc>
      </w:tr>
      <w:tr w:rsidR="006F2348" w:rsidRPr="00B822FC" w14:paraId="5AA5F305" w14:textId="77777777" w:rsidTr="0067610E">
        <w:tc>
          <w:tcPr>
            <w:tcW w:w="645" w:type="pct"/>
            <w:shd w:val="clear" w:color="auto" w:fill="E1E3F2"/>
          </w:tcPr>
          <w:p w14:paraId="715C218F" w14:textId="2AF28A3B" w:rsidR="006F2348" w:rsidRDefault="006F2348" w:rsidP="002A4BE3">
            <w:pPr>
              <w:pStyle w:val="TabletextrowsAgency"/>
            </w:pPr>
            <w:r>
              <w:t>Line 1298</w:t>
            </w:r>
          </w:p>
        </w:tc>
        <w:tc>
          <w:tcPr>
            <w:tcW w:w="812" w:type="pct"/>
            <w:shd w:val="clear" w:color="auto" w:fill="E1E3F2"/>
          </w:tcPr>
          <w:p w14:paraId="768052B9" w14:textId="77777777" w:rsidR="006F2348" w:rsidRDefault="006F2348" w:rsidP="002A4BE3">
            <w:pPr>
              <w:pStyle w:val="TabletextrowsAgency"/>
            </w:pPr>
          </w:p>
        </w:tc>
        <w:tc>
          <w:tcPr>
            <w:tcW w:w="2006" w:type="pct"/>
            <w:shd w:val="clear" w:color="auto" w:fill="E1E3F2"/>
          </w:tcPr>
          <w:p w14:paraId="33F27313" w14:textId="3CC2F3BE" w:rsidR="006F2348" w:rsidRDefault="006F2348" w:rsidP="00C51F77">
            <w:pPr>
              <w:pStyle w:val="TabletextrowsAgency"/>
            </w:pPr>
            <w:r>
              <w:t xml:space="preserve">As a high proportion of materials for ATMP manufacturing (single use) cannot be sterilised through a double ended steriliser, they will be manually surface sanitised. It may be of benefit to provide guidance as to expectations for this process e.g. if </w:t>
            </w:r>
            <w:r w:rsidR="00C51F77">
              <w:t xml:space="preserve">a </w:t>
            </w:r>
            <w:r>
              <w:t>manual process</w:t>
            </w:r>
            <w:r w:rsidR="00C51F77">
              <w:t>,</w:t>
            </w:r>
            <w:r>
              <w:t xml:space="preserve"> the number of sanitisation steps, use of sporicides?, technique (spray</w:t>
            </w:r>
            <w:r w:rsidR="00C51F77">
              <w:t xml:space="preserve"> </w:t>
            </w:r>
            <w:r w:rsidR="00C51F77" w:rsidRPr="00C51F77">
              <w:rPr>
                <w:b/>
              </w:rPr>
              <w:t>and</w:t>
            </w:r>
            <w:r w:rsidR="00C51F77">
              <w:t xml:space="preserve"> </w:t>
            </w:r>
            <w:r>
              <w:t>wipe) etc.</w:t>
            </w:r>
          </w:p>
        </w:tc>
        <w:tc>
          <w:tcPr>
            <w:tcW w:w="1537" w:type="pct"/>
            <w:shd w:val="clear" w:color="auto" w:fill="E1E3F2"/>
          </w:tcPr>
          <w:p w14:paraId="77358115" w14:textId="7D445C8B" w:rsidR="006F2348" w:rsidRPr="00561BA0" w:rsidRDefault="006F2348" w:rsidP="002A4BE3">
            <w:pPr>
              <w:pStyle w:val="TabletextrowsAgency"/>
            </w:pPr>
          </w:p>
        </w:tc>
      </w:tr>
      <w:tr w:rsidR="004F17FB" w:rsidRPr="00B822FC" w14:paraId="4D725391" w14:textId="77777777" w:rsidTr="0067610E">
        <w:tc>
          <w:tcPr>
            <w:tcW w:w="645" w:type="pct"/>
            <w:shd w:val="clear" w:color="auto" w:fill="E1E3F2"/>
          </w:tcPr>
          <w:p w14:paraId="7230C2FB" w14:textId="3CCE083B" w:rsidR="004F17FB" w:rsidRDefault="004F17FB" w:rsidP="002A4BE3">
            <w:pPr>
              <w:pStyle w:val="TabletextrowsAgency"/>
            </w:pPr>
            <w:r>
              <w:t>Lines 1354 and 1356</w:t>
            </w:r>
          </w:p>
        </w:tc>
        <w:tc>
          <w:tcPr>
            <w:tcW w:w="812" w:type="pct"/>
            <w:shd w:val="clear" w:color="auto" w:fill="E1E3F2"/>
          </w:tcPr>
          <w:p w14:paraId="53B50028" w14:textId="77777777" w:rsidR="004F17FB" w:rsidRDefault="004F17FB" w:rsidP="002A4BE3">
            <w:pPr>
              <w:pStyle w:val="TabletextrowsAgency"/>
            </w:pPr>
          </w:p>
        </w:tc>
        <w:tc>
          <w:tcPr>
            <w:tcW w:w="2006" w:type="pct"/>
            <w:shd w:val="clear" w:color="auto" w:fill="E1E3F2"/>
          </w:tcPr>
          <w:p w14:paraId="685574D7" w14:textId="77777777" w:rsidR="002D764D" w:rsidRDefault="004F17FB" w:rsidP="002A4BE3">
            <w:pPr>
              <w:pStyle w:val="TabletextrowsAgency"/>
            </w:pPr>
            <w:r>
              <w:t xml:space="preserve">It is not clear how to apply the concept of process simulation </w:t>
            </w:r>
            <w:r w:rsidRPr="004F17FB">
              <w:rPr>
                <w:i/>
              </w:rPr>
              <w:t>per shift</w:t>
            </w:r>
            <w:r>
              <w:t xml:space="preserve"> for small scale highly manual operations e.g. preparation of autologous products, which may occur in multiple rooms.</w:t>
            </w:r>
            <w:r w:rsidR="002D764D">
              <w:t xml:space="preserve"> </w:t>
            </w:r>
          </w:p>
          <w:p w14:paraId="61D3EACD" w14:textId="14F2C6DE" w:rsidR="004F17FB" w:rsidRDefault="002D764D" w:rsidP="00447C69">
            <w:pPr>
              <w:pStyle w:val="TabletextrowsAgency"/>
            </w:pPr>
            <w:r>
              <w:t xml:space="preserve">There should be a requirement to re-qualify </w:t>
            </w:r>
            <w:r w:rsidR="00447C69">
              <w:t xml:space="preserve">personnel involved in aseptic production </w:t>
            </w:r>
            <w:r>
              <w:t>by means of a competency based aseptic technique test and/or participation in a process simulation test.</w:t>
            </w:r>
          </w:p>
        </w:tc>
        <w:tc>
          <w:tcPr>
            <w:tcW w:w="1537" w:type="pct"/>
            <w:shd w:val="clear" w:color="auto" w:fill="E1E3F2"/>
          </w:tcPr>
          <w:p w14:paraId="19E3A65F" w14:textId="429F4771" w:rsidR="004F17FB" w:rsidRPr="00447C69" w:rsidRDefault="004F17FB" w:rsidP="002A4BE3">
            <w:pPr>
              <w:pStyle w:val="TabletextrowsAgency"/>
              <w:rPr>
                <w:highlight w:val="yellow"/>
              </w:rPr>
            </w:pPr>
          </w:p>
        </w:tc>
      </w:tr>
      <w:tr w:rsidR="002A4BE3" w:rsidRPr="00B822FC" w14:paraId="452734A9" w14:textId="77777777" w:rsidTr="0067610E">
        <w:tc>
          <w:tcPr>
            <w:tcW w:w="645" w:type="pct"/>
            <w:shd w:val="clear" w:color="auto" w:fill="E1E3F2"/>
          </w:tcPr>
          <w:p w14:paraId="28D393F9" w14:textId="5B452BD1" w:rsidR="002A4BE3" w:rsidRDefault="002A4BE3" w:rsidP="002A4BE3">
            <w:pPr>
              <w:pStyle w:val="TabletextrowsAgency"/>
            </w:pPr>
            <w:r>
              <w:t>Lines 1459-1461</w:t>
            </w:r>
          </w:p>
        </w:tc>
        <w:tc>
          <w:tcPr>
            <w:tcW w:w="812" w:type="pct"/>
            <w:shd w:val="clear" w:color="auto" w:fill="E1E3F2"/>
          </w:tcPr>
          <w:p w14:paraId="57E07EA3" w14:textId="77777777" w:rsidR="002A4BE3" w:rsidRDefault="002A4BE3" w:rsidP="002A4BE3">
            <w:pPr>
              <w:pStyle w:val="TabletextrowsAgency"/>
            </w:pPr>
          </w:p>
        </w:tc>
        <w:tc>
          <w:tcPr>
            <w:tcW w:w="2006" w:type="pct"/>
            <w:shd w:val="clear" w:color="auto" w:fill="E1E3F2"/>
          </w:tcPr>
          <w:p w14:paraId="5A67227B" w14:textId="445A0A61" w:rsidR="002A4BE3" w:rsidRDefault="002A4BE3" w:rsidP="002A4BE3">
            <w:pPr>
              <w:pStyle w:val="TabletextrowsAgency"/>
            </w:pPr>
            <w:r>
              <w:t xml:space="preserve">Comment: ISO 14644-2:2015 </w:t>
            </w:r>
            <w:r w:rsidR="00447C69">
              <w:t xml:space="preserve">states that re-qualification should be performed annually and </w:t>
            </w:r>
            <w:r w:rsidRPr="001615E0">
              <w:t xml:space="preserve">does not </w:t>
            </w:r>
            <w:r>
              <w:t xml:space="preserve">explicitly </w:t>
            </w:r>
            <w:r w:rsidRPr="001615E0">
              <w:t>require</w:t>
            </w:r>
            <w:r>
              <w:t xml:space="preserve"> grade A classification every six months. Reference to this standard should be sufficient and conflicting messages avoided. In case of “very small production” (meaning low frequency?) there is a lack of frequent data which is not supportive of a lower classification frequency.</w:t>
            </w:r>
          </w:p>
          <w:p w14:paraId="41A2BEC5" w14:textId="77777777" w:rsidR="002A4BE3" w:rsidRDefault="002A4BE3" w:rsidP="002A4BE3">
            <w:pPr>
              <w:pStyle w:val="TabletextrowsAgency"/>
            </w:pPr>
            <w:r>
              <w:t>Proposed change</w:t>
            </w:r>
            <w:r w:rsidRPr="00B822FC">
              <w:t>:</w:t>
            </w:r>
            <w:r>
              <w:t xml:space="preserve"> Delete</w:t>
            </w:r>
          </w:p>
          <w:p w14:paraId="1B7D6F99" w14:textId="77777777" w:rsidR="002A4BE3" w:rsidRPr="0091154A" w:rsidRDefault="002A4BE3" w:rsidP="002A4BE3">
            <w:pPr>
              <w:pStyle w:val="TabletextrowsAgency"/>
              <w:rPr>
                <w:strike/>
                <w:color w:val="FF0000"/>
              </w:rPr>
            </w:pPr>
            <w:r w:rsidRPr="0091154A">
              <w:rPr>
                <w:strike/>
                <w:color w:val="FF0000"/>
              </w:rPr>
              <w:t>In general, for clean rooms of grade A, requalification is expected every six months, while for B, C and D grades requalification is expected on a yearly basis. A different frequency may, however, be justified in case of very small production.</w:t>
            </w:r>
          </w:p>
        </w:tc>
        <w:tc>
          <w:tcPr>
            <w:tcW w:w="1537" w:type="pct"/>
            <w:shd w:val="clear" w:color="auto" w:fill="E1E3F2"/>
          </w:tcPr>
          <w:p w14:paraId="362F06DE" w14:textId="4710F1BB" w:rsidR="002A4BE3" w:rsidRPr="00561BA0" w:rsidRDefault="002A4BE3" w:rsidP="002A4BE3">
            <w:pPr>
              <w:pStyle w:val="TabletextrowsAgency"/>
            </w:pPr>
          </w:p>
        </w:tc>
      </w:tr>
      <w:tr w:rsidR="002A4BE3" w:rsidRPr="00B822FC" w14:paraId="2CCB391D" w14:textId="77777777" w:rsidTr="0067610E">
        <w:tc>
          <w:tcPr>
            <w:tcW w:w="645" w:type="pct"/>
            <w:shd w:val="clear" w:color="auto" w:fill="E1E3F2"/>
          </w:tcPr>
          <w:p w14:paraId="0C1C1236" w14:textId="722C2C13" w:rsidR="002A4BE3" w:rsidRDefault="002A4BE3" w:rsidP="002A4BE3">
            <w:pPr>
              <w:pStyle w:val="TabletextrowsAgency"/>
            </w:pPr>
            <w:r>
              <w:t>Lines 1490-1493</w:t>
            </w:r>
          </w:p>
        </w:tc>
        <w:tc>
          <w:tcPr>
            <w:tcW w:w="812" w:type="pct"/>
            <w:shd w:val="clear" w:color="auto" w:fill="E1E3F2"/>
          </w:tcPr>
          <w:p w14:paraId="2BF35ACA" w14:textId="77777777" w:rsidR="002A4BE3" w:rsidRDefault="002A4BE3" w:rsidP="002A4BE3">
            <w:pPr>
              <w:pStyle w:val="TabletextrowsAgency"/>
            </w:pPr>
          </w:p>
        </w:tc>
        <w:tc>
          <w:tcPr>
            <w:tcW w:w="2006" w:type="pct"/>
            <w:shd w:val="clear" w:color="auto" w:fill="E1E3F2"/>
          </w:tcPr>
          <w:p w14:paraId="31EEC190" w14:textId="77777777" w:rsidR="002A4BE3" w:rsidRDefault="002A4BE3" w:rsidP="002A4BE3">
            <w:pPr>
              <w:pStyle w:val="TabletextrowsAgency"/>
            </w:pPr>
            <w:r>
              <w:t>Comment: That some tests should be performed at the vendor’s site is too strict a requirement.</w:t>
            </w:r>
          </w:p>
          <w:p w14:paraId="2F848469" w14:textId="77777777" w:rsidR="002A4BE3" w:rsidRDefault="002A4BE3" w:rsidP="002A4BE3">
            <w:pPr>
              <w:pStyle w:val="TabletextrowsAgency"/>
            </w:pPr>
            <w:r>
              <w:t>Proposed change</w:t>
            </w:r>
            <w:r w:rsidRPr="00B822FC">
              <w:t>:</w:t>
            </w:r>
          </w:p>
          <w:p w14:paraId="09D8747C" w14:textId="77777777" w:rsidR="002A4BE3" w:rsidRDefault="002A4BE3" w:rsidP="002A4BE3">
            <w:pPr>
              <w:pStyle w:val="TabletextrowsAgency"/>
            </w:pPr>
            <w:r>
              <w:t xml:space="preserve">… </w:t>
            </w:r>
            <w:r w:rsidRPr="00CE0785">
              <w:t xml:space="preserve">and some tests </w:t>
            </w:r>
            <w:r w:rsidRPr="00CE0785">
              <w:rPr>
                <w:strike/>
                <w:color w:val="FF0000"/>
              </w:rPr>
              <w:t>should</w:t>
            </w:r>
            <w:r w:rsidRPr="00CE0785">
              <w:t xml:space="preserve"> </w:t>
            </w:r>
            <w:r w:rsidRPr="00CE0785">
              <w:rPr>
                <w:color w:val="0070C0"/>
              </w:rPr>
              <w:t>could</w:t>
            </w:r>
            <w:r>
              <w:t xml:space="preserve"> </w:t>
            </w:r>
            <w:r w:rsidRPr="00CE0785">
              <w:t>be performed at the vendor’s site</w:t>
            </w:r>
            <w:r>
              <w:t xml:space="preserve"> …</w:t>
            </w:r>
          </w:p>
        </w:tc>
        <w:tc>
          <w:tcPr>
            <w:tcW w:w="1537" w:type="pct"/>
            <w:shd w:val="clear" w:color="auto" w:fill="E1E3F2"/>
          </w:tcPr>
          <w:p w14:paraId="4FF95F56" w14:textId="21A240C9" w:rsidR="002A4BE3" w:rsidRPr="00561BA0" w:rsidRDefault="002A4BE3" w:rsidP="002A4BE3">
            <w:pPr>
              <w:pStyle w:val="TabletextrowsAgency"/>
            </w:pPr>
          </w:p>
        </w:tc>
      </w:tr>
      <w:tr w:rsidR="002A4BE3" w:rsidRPr="00B822FC" w14:paraId="62311847" w14:textId="77777777" w:rsidTr="0067610E">
        <w:tc>
          <w:tcPr>
            <w:tcW w:w="645" w:type="pct"/>
            <w:shd w:val="clear" w:color="auto" w:fill="E1E3F2"/>
          </w:tcPr>
          <w:p w14:paraId="0B5AE355" w14:textId="3DA5544E" w:rsidR="002A4BE3" w:rsidRDefault="002A4BE3" w:rsidP="00C51F77">
            <w:pPr>
              <w:pStyle w:val="TabletextrowsAgency"/>
            </w:pPr>
            <w:r>
              <w:t>Lines 1639-1640</w:t>
            </w:r>
          </w:p>
        </w:tc>
        <w:tc>
          <w:tcPr>
            <w:tcW w:w="812" w:type="pct"/>
            <w:shd w:val="clear" w:color="auto" w:fill="E1E3F2"/>
          </w:tcPr>
          <w:p w14:paraId="38CFE688" w14:textId="77777777" w:rsidR="002A4BE3" w:rsidRDefault="002A4BE3" w:rsidP="002A4BE3">
            <w:pPr>
              <w:pStyle w:val="TabletextrowsAgency"/>
            </w:pPr>
          </w:p>
        </w:tc>
        <w:tc>
          <w:tcPr>
            <w:tcW w:w="2006" w:type="pct"/>
            <w:shd w:val="clear" w:color="auto" w:fill="E1E3F2"/>
          </w:tcPr>
          <w:p w14:paraId="1ACBC128" w14:textId="77777777" w:rsidR="002A4BE3" w:rsidRDefault="002A4BE3" w:rsidP="002A4BE3">
            <w:pPr>
              <w:pStyle w:val="TabletextrowsAgency"/>
            </w:pPr>
            <w:r>
              <w:t>Comment: “validated throughout clinical development” would mean validated even in/for phase I clinical trial, which is not consistent with “… finalized before phase III …”</w:t>
            </w:r>
          </w:p>
          <w:p w14:paraId="15BDD587" w14:textId="77777777" w:rsidR="002A4BE3" w:rsidRDefault="002A4BE3" w:rsidP="002A4BE3">
            <w:pPr>
              <w:pStyle w:val="TabletextrowsAgency"/>
            </w:pPr>
            <w:r>
              <w:t>Proposed change</w:t>
            </w:r>
            <w:r w:rsidRPr="00B822FC">
              <w:t>:</w:t>
            </w:r>
          </w:p>
          <w:p w14:paraId="2EB56626" w14:textId="77777777" w:rsidR="002A4BE3" w:rsidRDefault="002A4BE3" w:rsidP="002A4BE3">
            <w:pPr>
              <w:pStyle w:val="TabletextrowsAgency"/>
            </w:pPr>
            <w:r w:rsidRPr="00851116">
              <w:t xml:space="preserve">Potency assays should be </w:t>
            </w:r>
            <w:r w:rsidRPr="00851116">
              <w:rPr>
                <w:color w:val="0070C0"/>
              </w:rPr>
              <w:t>qualified in</w:t>
            </w:r>
            <w:r>
              <w:t xml:space="preserve"> </w:t>
            </w:r>
            <w:r w:rsidRPr="00851116">
              <w:rPr>
                <w:strike/>
                <w:color w:val="FF0000"/>
              </w:rPr>
              <w:t>validated throughout</w:t>
            </w:r>
            <w:r w:rsidRPr="00851116">
              <w:t xml:space="preserve"> </w:t>
            </w:r>
            <w:r w:rsidRPr="00851116">
              <w:rPr>
                <w:color w:val="0070C0"/>
              </w:rPr>
              <w:t>early</w:t>
            </w:r>
            <w:r>
              <w:t xml:space="preserve"> </w:t>
            </w:r>
            <w:r w:rsidRPr="00851116">
              <w:t xml:space="preserve">clinical development </w:t>
            </w:r>
            <w:r>
              <w:t xml:space="preserve">and </w:t>
            </w:r>
            <w:r w:rsidRPr="00C51F77">
              <w:t>(i.e. typically</w:t>
            </w:r>
            <w:r w:rsidRPr="00851116">
              <w:t xml:space="preserve"> validation finalized before phase III clinical trials</w:t>
            </w:r>
            <w:r w:rsidRPr="00C51F77">
              <w:t>)</w:t>
            </w:r>
            <w:r w:rsidRPr="00851116">
              <w:t>.</w:t>
            </w:r>
          </w:p>
        </w:tc>
        <w:tc>
          <w:tcPr>
            <w:tcW w:w="1537" w:type="pct"/>
            <w:shd w:val="clear" w:color="auto" w:fill="E1E3F2"/>
          </w:tcPr>
          <w:p w14:paraId="001C8BF0" w14:textId="689C29A5" w:rsidR="002A4BE3" w:rsidRPr="00561BA0" w:rsidRDefault="002A4BE3" w:rsidP="002A4BE3">
            <w:pPr>
              <w:pStyle w:val="TabletextrowsAgency"/>
            </w:pPr>
          </w:p>
        </w:tc>
      </w:tr>
      <w:tr w:rsidR="002A4BE3" w:rsidRPr="00B822FC" w14:paraId="3FA27CBB" w14:textId="77777777" w:rsidTr="0067610E">
        <w:tc>
          <w:tcPr>
            <w:tcW w:w="645" w:type="pct"/>
            <w:shd w:val="clear" w:color="auto" w:fill="E1E3F2"/>
          </w:tcPr>
          <w:p w14:paraId="107D4E70" w14:textId="06367D00" w:rsidR="002A4BE3" w:rsidRDefault="002A4BE3" w:rsidP="002A4BE3">
            <w:pPr>
              <w:pStyle w:val="TabletextrowsAgency"/>
            </w:pPr>
            <w:r>
              <w:t>Lines 1659-1661</w:t>
            </w:r>
          </w:p>
        </w:tc>
        <w:tc>
          <w:tcPr>
            <w:tcW w:w="812" w:type="pct"/>
            <w:shd w:val="clear" w:color="auto" w:fill="E1E3F2"/>
          </w:tcPr>
          <w:p w14:paraId="3236DD1B" w14:textId="77777777" w:rsidR="002A4BE3" w:rsidRDefault="002A4BE3" w:rsidP="002A4BE3">
            <w:pPr>
              <w:pStyle w:val="TabletextrowsAgency"/>
            </w:pPr>
          </w:p>
        </w:tc>
        <w:tc>
          <w:tcPr>
            <w:tcW w:w="2006" w:type="pct"/>
            <w:shd w:val="clear" w:color="auto" w:fill="E1E3F2"/>
          </w:tcPr>
          <w:p w14:paraId="26D86D37" w14:textId="03C16CFA" w:rsidR="00ED74C5" w:rsidRDefault="002A4BE3" w:rsidP="002A4BE3">
            <w:pPr>
              <w:pStyle w:val="TabletextrowsAgency"/>
            </w:pPr>
            <w:r>
              <w:t xml:space="preserve">Comment: Requirements for QP’s qualification other than those laid down in </w:t>
            </w:r>
            <w:r w:rsidR="00ED74C5">
              <w:t xml:space="preserve">Directive 2001/83/EC </w:t>
            </w:r>
            <w:r>
              <w:t>will raise debate how this should be demonstrated, especially as “training and experience” are not differentiated.</w:t>
            </w:r>
            <w:r w:rsidR="00ED74C5">
              <w:t xml:space="preserve"> The wording should state</w:t>
            </w:r>
          </w:p>
          <w:p w14:paraId="6CCAF26E" w14:textId="3CB7B62F" w:rsidR="00ED74C5" w:rsidRDefault="00ED74C5" w:rsidP="002A4BE3">
            <w:pPr>
              <w:pStyle w:val="TabletextrowsAgency"/>
            </w:pPr>
            <w:r w:rsidRPr="00C51F77">
              <w:rPr>
                <w:color w:val="0070C0"/>
              </w:rPr>
              <w:t>“training and/or experience”</w:t>
            </w:r>
            <w:r>
              <w:t>.</w:t>
            </w:r>
          </w:p>
          <w:p w14:paraId="7DCD140B" w14:textId="1D5CF417" w:rsidR="002A4BE3" w:rsidRDefault="00ED74C5" w:rsidP="002A4BE3">
            <w:pPr>
              <w:pStyle w:val="TabletextrowsAgency"/>
            </w:pPr>
            <w:r>
              <w:t xml:space="preserve">It is unclear if these will be additional requirement or alternative to those required in Directive 2001/83/EC. We agree a slightly different set of skills are required to act as a QP for ATMP’s and the emphasis should be on those described in Lines 1660-1661 rather than many of the current requirement e.g. organic chemistry and applied </w:t>
            </w:r>
            <w:r w:rsidR="00C51F77">
              <w:t>physics</w:t>
            </w:r>
            <w:r w:rsidR="00517D4F">
              <w:t>.</w:t>
            </w:r>
          </w:p>
          <w:p w14:paraId="3F86F5E3" w14:textId="0F40237C" w:rsidR="002A4BE3" w:rsidRDefault="002A4BE3" w:rsidP="002A4BE3">
            <w:pPr>
              <w:pStyle w:val="TabletextrowsAgency"/>
            </w:pPr>
            <w:r w:rsidRPr="00C51F77">
              <w:t>Is Annex 16 replaced altogether for ATMPs?</w:t>
            </w:r>
          </w:p>
        </w:tc>
        <w:tc>
          <w:tcPr>
            <w:tcW w:w="1537" w:type="pct"/>
            <w:shd w:val="clear" w:color="auto" w:fill="E1E3F2"/>
          </w:tcPr>
          <w:p w14:paraId="3793E41A" w14:textId="49F69BD9" w:rsidR="002A4BE3" w:rsidRPr="00C51F77" w:rsidRDefault="002A4BE3" w:rsidP="002A4BE3">
            <w:pPr>
              <w:pStyle w:val="TabletextrowsAgency"/>
              <w:rPr>
                <w:highlight w:val="yellow"/>
              </w:rPr>
            </w:pPr>
          </w:p>
        </w:tc>
      </w:tr>
      <w:tr w:rsidR="002A4BE3" w:rsidRPr="00B822FC" w14:paraId="5517C7BE" w14:textId="77777777" w:rsidTr="0067610E">
        <w:tc>
          <w:tcPr>
            <w:tcW w:w="645" w:type="pct"/>
            <w:shd w:val="clear" w:color="auto" w:fill="E1E3F2"/>
          </w:tcPr>
          <w:p w14:paraId="5797F01E" w14:textId="75DB7DED" w:rsidR="002A4BE3" w:rsidRDefault="002A4BE3" w:rsidP="002A4BE3">
            <w:pPr>
              <w:pStyle w:val="TabletextrowsAgency"/>
            </w:pPr>
            <w:r>
              <w:t>Lines 1882-1888</w:t>
            </w:r>
          </w:p>
        </w:tc>
        <w:tc>
          <w:tcPr>
            <w:tcW w:w="812" w:type="pct"/>
            <w:shd w:val="clear" w:color="auto" w:fill="E1E3F2"/>
          </w:tcPr>
          <w:p w14:paraId="7AE39519" w14:textId="77777777" w:rsidR="002A4BE3" w:rsidRDefault="002A4BE3" w:rsidP="002A4BE3">
            <w:pPr>
              <w:pStyle w:val="TabletextrowsAgency"/>
            </w:pPr>
          </w:p>
        </w:tc>
        <w:tc>
          <w:tcPr>
            <w:tcW w:w="2006" w:type="pct"/>
            <w:shd w:val="clear" w:color="auto" w:fill="E1E3F2"/>
          </w:tcPr>
          <w:p w14:paraId="07DBD6FF" w14:textId="77777777" w:rsidR="002A4BE3" w:rsidRDefault="002A4BE3" w:rsidP="002A4BE3">
            <w:pPr>
              <w:pStyle w:val="TabletextrowsAgency"/>
            </w:pPr>
            <w:r>
              <w:t>Comment: Retaining Reference samples of critical raw materials should be recommended but not considered mandatory (short shelf life, minute quantities, considerable costs – to name just a few potential reasons).</w:t>
            </w:r>
          </w:p>
          <w:p w14:paraId="17D3B24E" w14:textId="77777777" w:rsidR="002A4BE3" w:rsidRDefault="002A4BE3" w:rsidP="002A4BE3">
            <w:pPr>
              <w:pStyle w:val="TabletextrowsAgency"/>
            </w:pPr>
            <w:r>
              <w:t>Proposed change</w:t>
            </w:r>
            <w:r w:rsidRPr="00B822FC">
              <w:t>:</w:t>
            </w:r>
          </w:p>
          <w:p w14:paraId="2F6C209F" w14:textId="77777777" w:rsidR="002A4BE3" w:rsidRDefault="002A4BE3" w:rsidP="002A4BE3">
            <w:pPr>
              <w:pStyle w:val="TabletextrowsAgency"/>
            </w:pPr>
            <w:r w:rsidRPr="007C0B96">
              <w:t xml:space="preserve">Reference samples of critical raw materials (e.g. cytokines, growth factors) are </w:t>
            </w:r>
            <w:r w:rsidRPr="007C0B96">
              <w:rPr>
                <w:strike/>
                <w:color w:val="FF0000"/>
              </w:rPr>
              <w:t>important</w:t>
            </w:r>
            <w:r w:rsidRPr="007C0B96">
              <w:t xml:space="preserve"> </w:t>
            </w:r>
            <w:r w:rsidRPr="007C0B96">
              <w:rPr>
                <w:color w:val="0070C0"/>
              </w:rPr>
              <w:t>recommended</w:t>
            </w:r>
            <w:r w:rsidRPr="007C0B96">
              <w:t xml:space="preserve"> to investigate possible quality problems with the product.</w:t>
            </w:r>
            <w:r>
              <w:t xml:space="preserve"> </w:t>
            </w:r>
            <w:r w:rsidRPr="007C0B96">
              <w:t xml:space="preserve">The assessment whether </w:t>
            </w:r>
            <w:r w:rsidRPr="007C0B96">
              <w:rPr>
                <w:color w:val="0070C0"/>
              </w:rPr>
              <w:t>to retain</w:t>
            </w:r>
            <w:r>
              <w:t xml:space="preserve"> </w:t>
            </w:r>
            <w:r w:rsidRPr="007C0B96">
              <w:t>a specific raw material</w:t>
            </w:r>
            <w:r w:rsidRPr="007C0B96">
              <w:rPr>
                <w:strike/>
                <w:color w:val="FF0000"/>
              </w:rPr>
              <w:t>s</w:t>
            </w:r>
            <w:r w:rsidRPr="007C0B96">
              <w:t xml:space="preserve"> is </w:t>
            </w:r>
            <w:r w:rsidRPr="00426031">
              <w:rPr>
                <w:strike/>
                <w:color w:val="FF0000"/>
              </w:rPr>
              <w:t>critical</w:t>
            </w:r>
            <w:r w:rsidRPr="007C0B96">
              <w:t xml:space="preserve"> </w:t>
            </w:r>
            <w:r w:rsidRPr="007C0B96">
              <w:rPr>
                <w:color w:val="0070C0"/>
              </w:rPr>
              <w:t>beneficial for root cause analysis</w:t>
            </w:r>
            <w:r>
              <w:t xml:space="preserve"> </w:t>
            </w:r>
            <w:r w:rsidRPr="007C0B96">
              <w:t>should be done by the manufacturer having regard to the specific risks and possible mitigation measures (e.g. increased QC controls).</w:t>
            </w:r>
          </w:p>
        </w:tc>
        <w:tc>
          <w:tcPr>
            <w:tcW w:w="1537" w:type="pct"/>
            <w:shd w:val="clear" w:color="auto" w:fill="E1E3F2"/>
          </w:tcPr>
          <w:p w14:paraId="622C35C6" w14:textId="5C8528CA" w:rsidR="002A4BE3" w:rsidRPr="00561BA0" w:rsidRDefault="002A4BE3" w:rsidP="002A4BE3">
            <w:pPr>
              <w:pStyle w:val="TabletextrowsAgency"/>
            </w:pPr>
          </w:p>
        </w:tc>
      </w:tr>
      <w:tr w:rsidR="002A4BE3" w:rsidRPr="00B822FC" w14:paraId="6671EB09" w14:textId="77777777" w:rsidTr="0067610E">
        <w:tc>
          <w:tcPr>
            <w:tcW w:w="645" w:type="pct"/>
            <w:shd w:val="clear" w:color="auto" w:fill="E1E3F2"/>
          </w:tcPr>
          <w:p w14:paraId="0C56A38F" w14:textId="125020A6" w:rsidR="002A4BE3" w:rsidRDefault="002A4BE3" w:rsidP="002A4BE3">
            <w:pPr>
              <w:pStyle w:val="TabletextrowsAgency"/>
            </w:pPr>
            <w:r>
              <w:t>Lines 1923-1924</w:t>
            </w:r>
          </w:p>
        </w:tc>
        <w:tc>
          <w:tcPr>
            <w:tcW w:w="812" w:type="pct"/>
            <w:shd w:val="clear" w:color="auto" w:fill="E1E3F2"/>
          </w:tcPr>
          <w:p w14:paraId="72CD6F20" w14:textId="77777777" w:rsidR="002A4BE3" w:rsidRDefault="002A4BE3" w:rsidP="002A4BE3">
            <w:pPr>
              <w:pStyle w:val="TabletextrowsAgency"/>
            </w:pPr>
          </w:p>
        </w:tc>
        <w:tc>
          <w:tcPr>
            <w:tcW w:w="2006" w:type="pct"/>
            <w:shd w:val="clear" w:color="auto" w:fill="E1E3F2"/>
          </w:tcPr>
          <w:p w14:paraId="4E2D1815" w14:textId="77777777" w:rsidR="002A4BE3" w:rsidRDefault="002A4BE3" w:rsidP="002A4BE3">
            <w:pPr>
              <w:pStyle w:val="TabletextrowsAgency"/>
            </w:pPr>
            <w:r>
              <w:t>Comment: In our opinion, a cryopreserved sample is not adequate for sterility controls</w:t>
            </w:r>
          </w:p>
        </w:tc>
        <w:tc>
          <w:tcPr>
            <w:tcW w:w="1537" w:type="pct"/>
            <w:shd w:val="clear" w:color="auto" w:fill="E1E3F2"/>
          </w:tcPr>
          <w:p w14:paraId="3301C867" w14:textId="7B7ABB26" w:rsidR="002A4BE3" w:rsidRPr="00561BA0" w:rsidRDefault="002A4BE3" w:rsidP="002A4BE3">
            <w:pPr>
              <w:pStyle w:val="TabletextrowsAgency"/>
            </w:pPr>
          </w:p>
        </w:tc>
      </w:tr>
      <w:tr w:rsidR="002A4BE3" w:rsidRPr="00B822FC" w14:paraId="36CF54C3" w14:textId="77777777" w:rsidTr="0067610E">
        <w:tc>
          <w:tcPr>
            <w:tcW w:w="645" w:type="pct"/>
            <w:shd w:val="clear" w:color="auto" w:fill="E1E3F2"/>
          </w:tcPr>
          <w:p w14:paraId="3B52AD62" w14:textId="363FFDFB" w:rsidR="002A4BE3" w:rsidRDefault="002A4BE3" w:rsidP="002A4BE3">
            <w:pPr>
              <w:pStyle w:val="TabletextrowsAgency"/>
            </w:pPr>
            <w:r>
              <w:t>Line 1937</w:t>
            </w:r>
          </w:p>
        </w:tc>
        <w:tc>
          <w:tcPr>
            <w:tcW w:w="812" w:type="pct"/>
            <w:shd w:val="clear" w:color="auto" w:fill="E1E3F2"/>
          </w:tcPr>
          <w:p w14:paraId="6DD25EC4" w14:textId="77777777" w:rsidR="002A4BE3" w:rsidRDefault="002A4BE3" w:rsidP="002A4BE3">
            <w:pPr>
              <w:pStyle w:val="TabletextrowsAgency"/>
            </w:pPr>
          </w:p>
        </w:tc>
        <w:tc>
          <w:tcPr>
            <w:tcW w:w="2006" w:type="pct"/>
            <w:shd w:val="clear" w:color="auto" w:fill="E1E3F2"/>
          </w:tcPr>
          <w:p w14:paraId="3A8A810F" w14:textId="77777777" w:rsidR="002A4BE3" w:rsidRDefault="002A4BE3" w:rsidP="002A4BE3">
            <w:pPr>
              <w:pStyle w:val="TabletextrowsAgency"/>
            </w:pPr>
            <w:r>
              <w:t>Proposed change</w:t>
            </w:r>
            <w:r w:rsidRPr="00B822FC">
              <w:t>:</w:t>
            </w:r>
          </w:p>
          <w:p w14:paraId="6E860007" w14:textId="77777777" w:rsidR="002A4BE3" w:rsidRDefault="002A4BE3" w:rsidP="002A4BE3">
            <w:pPr>
              <w:pStyle w:val="TabletextrowsAgency"/>
            </w:pPr>
            <w:r w:rsidRPr="00902230">
              <w:rPr>
                <w:strike/>
                <w:color w:val="FF0000"/>
              </w:rPr>
              <w:t>critically</w:t>
            </w:r>
            <w:r>
              <w:t xml:space="preserve"> </w:t>
            </w:r>
            <w:r w:rsidRPr="00902230">
              <w:rPr>
                <w:color w:val="0070C0"/>
              </w:rPr>
              <w:t>criticality</w:t>
            </w:r>
          </w:p>
        </w:tc>
        <w:tc>
          <w:tcPr>
            <w:tcW w:w="1537" w:type="pct"/>
            <w:shd w:val="clear" w:color="auto" w:fill="E1E3F2"/>
          </w:tcPr>
          <w:p w14:paraId="25BBF5BF" w14:textId="2E6AA4FB" w:rsidR="002A4BE3" w:rsidRPr="00561BA0" w:rsidRDefault="002A4BE3" w:rsidP="002A4BE3">
            <w:pPr>
              <w:pStyle w:val="TabletextrowsAgency"/>
            </w:pPr>
          </w:p>
        </w:tc>
      </w:tr>
      <w:tr w:rsidR="008216F0" w:rsidRPr="00B822FC" w14:paraId="092AB0D8" w14:textId="77777777" w:rsidTr="0067610E">
        <w:tc>
          <w:tcPr>
            <w:tcW w:w="645" w:type="pct"/>
            <w:shd w:val="clear" w:color="auto" w:fill="E1E3F2"/>
          </w:tcPr>
          <w:p w14:paraId="7F340BC6" w14:textId="62E11ABF" w:rsidR="008216F0" w:rsidRDefault="008216F0" w:rsidP="002A4BE3">
            <w:pPr>
              <w:pStyle w:val="TabletextrowsAgency"/>
            </w:pPr>
            <w:r>
              <w:t>Line 1972 to 1977</w:t>
            </w:r>
          </w:p>
        </w:tc>
        <w:tc>
          <w:tcPr>
            <w:tcW w:w="812" w:type="pct"/>
            <w:shd w:val="clear" w:color="auto" w:fill="E1E3F2"/>
          </w:tcPr>
          <w:p w14:paraId="0AB4B853" w14:textId="77777777" w:rsidR="008216F0" w:rsidRDefault="008216F0" w:rsidP="002A4BE3">
            <w:pPr>
              <w:pStyle w:val="TabletextrowsAgency"/>
            </w:pPr>
          </w:p>
        </w:tc>
        <w:tc>
          <w:tcPr>
            <w:tcW w:w="2006" w:type="pct"/>
            <w:shd w:val="clear" w:color="auto" w:fill="E1E3F2"/>
          </w:tcPr>
          <w:p w14:paraId="520FF256" w14:textId="40D5F847" w:rsidR="008216F0" w:rsidRDefault="008216F0" w:rsidP="008216F0">
            <w:pPr>
              <w:pStyle w:val="TabletextrowsAgency"/>
            </w:pPr>
            <w:r>
              <w:t xml:space="preserve">It should be recognised that for autologous products the ongoing stability monitoring may be difficult and alternative starting materials may need to be used. It may not be ethical to procure starting material </w:t>
            </w:r>
            <w:r w:rsidR="00504CEA">
              <w:t xml:space="preserve">in sufficient quantities </w:t>
            </w:r>
            <w:r>
              <w:t xml:space="preserve">from patients purely for </w:t>
            </w:r>
            <w:r w:rsidR="00504CEA">
              <w:t xml:space="preserve">an ongoing </w:t>
            </w:r>
            <w:r>
              <w:t>stability</w:t>
            </w:r>
            <w:r w:rsidR="00504CEA">
              <w:t xml:space="preserve"> testing program</w:t>
            </w:r>
            <w:r>
              <w:t>.</w:t>
            </w:r>
          </w:p>
        </w:tc>
        <w:tc>
          <w:tcPr>
            <w:tcW w:w="1537" w:type="pct"/>
            <w:shd w:val="clear" w:color="auto" w:fill="E1E3F2"/>
          </w:tcPr>
          <w:p w14:paraId="48D0B132" w14:textId="0BFDBB38" w:rsidR="008216F0" w:rsidRPr="00561BA0" w:rsidRDefault="008216F0" w:rsidP="002A4BE3">
            <w:pPr>
              <w:pStyle w:val="TabletextrowsAgency"/>
            </w:pPr>
          </w:p>
        </w:tc>
      </w:tr>
      <w:tr w:rsidR="002A4BE3" w:rsidRPr="00B822FC" w14:paraId="6CFFCAAE" w14:textId="77777777" w:rsidTr="0067610E">
        <w:tc>
          <w:tcPr>
            <w:tcW w:w="645" w:type="pct"/>
            <w:shd w:val="clear" w:color="auto" w:fill="E1E3F2"/>
          </w:tcPr>
          <w:p w14:paraId="4AF39568" w14:textId="31D95205" w:rsidR="002A4BE3" w:rsidRDefault="002A4BE3" w:rsidP="002A4BE3">
            <w:pPr>
              <w:pStyle w:val="TabletextrowsAgency"/>
            </w:pPr>
            <w:r>
              <w:t>Lines 2018-2019</w:t>
            </w:r>
          </w:p>
        </w:tc>
        <w:tc>
          <w:tcPr>
            <w:tcW w:w="812" w:type="pct"/>
            <w:shd w:val="clear" w:color="auto" w:fill="E1E3F2"/>
          </w:tcPr>
          <w:p w14:paraId="7DB78514" w14:textId="77777777" w:rsidR="002A4BE3" w:rsidRDefault="002A4BE3" w:rsidP="002A4BE3">
            <w:pPr>
              <w:pStyle w:val="TabletextrowsAgency"/>
            </w:pPr>
          </w:p>
        </w:tc>
        <w:tc>
          <w:tcPr>
            <w:tcW w:w="2006" w:type="pct"/>
            <w:shd w:val="clear" w:color="auto" w:fill="E1E3F2"/>
          </w:tcPr>
          <w:p w14:paraId="0479495B" w14:textId="77777777" w:rsidR="002A4BE3" w:rsidRPr="00517D4F" w:rsidRDefault="002A4BE3" w:rsidP="002A4BE3">
            <w:pPr>
              <w:pStyle w:val="TabletextrowsAgency"/>
            </w:pPr>
            <w:r w:rsidRPr="00517D4F">
              <w:t>Comment: “… reference samples should be kept by, or made available to, the contract giver”</w:t>
            </w:r>
          </w:p>
          <w:p w14:paraId="3BFFC98D" w14:textId="77777777" w:rsidR="002A4BE3" w:rsidRPr="00517D4F" w:rsidRDefault="002A4BE3" w:rsidP="002A4BE3">
            <w:pPr>
              <w:pStyle w:val="TabletextrowsAgency"/>
            </w:pPr>
            <w:r w:rsidRPr="00517D4F">
              <w:t>This is not realistic as the contract acceptor might be a licensed establishment and needs to keep the samples within their premises. Same to original documentation.</w:t>
            </w:r>
          </w:p>
        </w:tc>
        <w:tc>
          <w:tcPr>
            <w:tcW w:w="1537" w:type="pct"/>
            <w:shd w:val="clear" w:color="auto" w:fill="E1E3F2"/>
          </w:tcPr>
          <w:p w14:paraId="5EE4077A" w14:textId="0E3C1409" w:rsidR="002A4BE3" w:rsidRPr="00561BA0" w:rsidRDefault="002A4BE3" w:rsidP="002A4BE3">
            <w:pPr>
              <w:pStyle w:val="TabletextrowsAgency"/>
            </w:pPr>
          </w:p>
        </w:tc>
      </w:tr>
      <w:tr w:rsidR="002A4BE3" w:rsidRPr="00B822FC" w14:paraId="117A592D" w14:textId="77777777" w:rsidTr="0067610E">
        <w:tc>
          <w:tcPr>
            <w:tcW w:w="645" w:type="pct"/>
            <w:shd w:val="clear" w:color="auto" w:fill="E1E3F2"/>
          </w:tcPr>
          <w:p w14:paraId="2C0F5C9D" w14:textId="58249384" w:rsidR="002A4BE3" w:rsidRDefault="002A4BE3" w:rsidP="002A4BE3">
            <w:pPr>
              <w:pStyle w:val="TabletextrowsAgency"/>
            </w:pPr>
            <w:r>
              <w:t>Line 2089</w:t>
            </w:r>
          </w:p>
        </w:tc>
        <w:tc>
          <w:tcPr>
            <w:tcW w:w="812" w:type="pct"/>
            <w:shd w:val="clear" w:color="auto" w:fill="E1E3F2"/>
          </w:tcPr>
          <w:p w14:paraId="6460BFFC" w14:textId="77777777" w:rsidR="002A4BE3" w:rsidRDefault="002A4BE3" w:rsidP="002A4BE3">
            <w:pPr>
              <w:pStyle w:val="TabletextrowsAgency"/>
            </w:pPr>
          </w:p>
        </w:tc>
        <w:tc>
          <w:tcPr>
            <w:tcW w:w="2006" w:type="pct"/>
            <w:shd w:val="clear" w:color="auto" w:fill="E1E3F2"/>
          </w:tcPr>
          <w:p w14:paraId="62E4B258" w14:textId="6499E8CA" w:rsidR="00517D4F" w:rsidRPr="00517D4F" w:rsidRDefault="00517D4F" w:rsidP="00517D4F">
            <w:pPr>
              <w:pStyle w:val="TabletextrowsAgency"/>
            </w:pPr>
            <w:r w:rsidRPr="00517D4F">
              <w:t>It is unclear how “</w:t>
            </w:r>
            <w:r w:rsidR="002A4BE3" w:rsidRPr="00517D4F">
              <w:t>Cell recovery after cryo-storage</w:t>
            </w:r>
            <w:r w:rsidRPr="00517D4F">
              <w:t>” differs from those activities listed in 2085-2087.</w:t>
            </w:r>
            <w:r>
              <w:t xml:space="preserve"> </w:t>
            </w:r>
          </w:p>
          <w:p w14:paraId="4C922A20" w14:textId="77777777" w:rsidR="00517D4F" w:rsidRPr="00517D4F" w:rsidRDefault="00517D4F" w:rsidP="00517D4F">
            <w:pPr>
              <w:pStyle w:val="TabletextrowsAgency"/>
            </w:pPr>
            <w:r w:rsidRPr="00517D4F">
              <w:t>Suggest to delete line</w:t>
            </w:r>
          </w:p>
          <w:p w14:paraId="6EB2154A" w14:textId="0C50397C" w:rsidR="002A4BE3" w:rsidRPr="00517D4F" w:rsidRDefault="00517D4F" w:rsidP="00517D4F">
            <w:pPr>
              <w:pStyle w:val="TabletextrowsAgency"/>
              <w:rPr>
                <w:strike/>
              </w:rPr>
            </w:pPr>
            <w:r w:rsidRPr="00517D4F">
              <w:rPr>
                <w:strike/>
                <w:color w:val="FF0000"/>
              </w:rPr>
              <w:t>“Cell recovery after cryo-storage”</w:t>
            </w:r>
          </w:p>
        </w:tc>
        <w:tc>
          <w:tcPr>
            <w:tcW w:w="1537" w:type="pct"/>
            <w:shd w:val="clear" w:color="auto" w:fill="E1E3F2"/>
          </w:tcPr>
          <w:p w14:paraId="40E7A38E" w14:textId="28539C9B" w:rsidR="002A4BE3" w:rsidRPr="00B7207F" w:rsidRDefault="002A4BE3" w:rsidP="002A4BE3">
            <w:pPr>
              <w:pStyle w:val="TabletextrowsAgency"/>
              <w:rPr>
                <w:highlight w:val="yellow"/>
              </w:rPr>
            </w:pPr>
          </w:p>
        </w:tc>
      </w:tr>
      <w:tr w:rsidR="00504CEA" w:rsidRPr="00B822FC" w14:paraId="20153D64" w14:textId="77777777" w:rsidTr="0067610E">
        <w:tc>
          <w:tcPr>
            <w:tcW w:w="645" w:type="pct"/>
            <w:shd w:val="clear" w:color="auto" w:fill="E1E3F2"/>
          </w:tcPr>
          <w:p w14:paraId="3ADB8048" w14:textId="5D32EA2C" w:rsidR="00504CEA" w:rsidRDefault="00504CEA" w:rsidP="002A4BE3">
            <w:pPr>
              <w:pStyle w:val="TabletextrowsAgency"/>
            </w:pPr>
            <w:r>
              <w:t xml:space="preserve">Lines 2104 to </w:t>
            </w:r>
            <w:r w:rsidR="00B7207F">
              <w:t>2113</w:t>
            </w:r>
          </w:p>
        </w:tc>
        <w:tc>
          <w:tcPr>
            <w:tcW w:w="812" w:type="pct"/>
            <w:shd w:val="clear" w:color="auto" w:fill="E1E3F2"/>
          </w:tcPr>
          <w:p w14:paraId="11D50E7E" w14:textId="77777777" w:rsidR="00504CEA" w:rsidRDefault="00504CEA" w:rsidP="002A4BE3">
            <w:pPr>
              <w:pStyle w:val="TabletextrowsAgency"/>
            </w:pPr>
          </w:p>
        </w:tc>
        <w:tc>
          <w:tcPr>
            <w:tcW w:w="2006" w:type="pct"/>
            <w:shd w:val="clear" w:color="auto" w:fill="E1E3F2"/>
          </w:tcPr>
          <w:p w14:paraId="3599C46D" w14:textId="4A8CFD67" w:rsidR="00504CEA" w:rsidRPr="00517D4F" w:rsidRDefault="00B7207F" w:rsidP="002A4BE3">
            <w:pPr>
              <w:pStyle w:val="TabletextrowsAgency"/>
            </w:pPr>
            <w:r w:rsidRPr="00517D4F">
              <w:t xml:space="preserve">This section should be expanded to describe the situation for investigational ATMPS. The responsibility for describing the method of administration is typically performed by the Sponsor and not the manufacturer (who may be a Contract Manufacturer). For investigational ATMP’s this process need not be validated but assessed or qualified to ensure it can be administered without negative impact to product safety. </w:t>
            </w:r>
          </w:p>
        </w:tc>
        <w:tc>
          <w:tcPr>
            <w:tcW w:w="1537" w:type="pct"/>
            <w:shd w:val="clear" w:color="auto" w:fill="E1E3F2"/>
          </w:tcPr>
          <w:p w14:paraId="67115C77" w14:textId="4F3FBD71" w:rsidR="00504CEA" w:rsidRPr="00561BA0" w:rsidRDefault="00504CEA" w:rsidP="002A4BE3">
            <w:pPr>
              <w:pStyle w:val="TabletextrowsAgency"/>
            </w:pPr>
          </w:p>
        </w:tc>
      </w:tr>
      <w:tr w:rsidR="002A4BE3" w:rsidRPr="00B822FC" w14:paraId="245FD2A8" w14:textId="77777777" w:rsidTr="0067610E">
        <w:tc>
          <w:tcPr>
            <w:tcW w:w="645" w:type="pct"/>
            <w:shd w:val="clear" w:color="auto" w:fill="E1E3F2"/>
          </w:tcPr>
          <w:p w14:paraId="1DBBDDFB" w14:textId="1535DD63" w:rsidR="002A4BE3" w:rsidRDefault="002A4BE3" w:rsidP="002A4BE3">
            <w:pPr>
              <w:pStyle w:val="TabletextrowsAgency"/>
            </w:pPr>
            <w:r>
              <w:t>Lines 2140-2141</w:t>
            </w:r>
          </w:p>
        </w:tc>
        <w:tc>
          <w:tcPr>
            <w:tcW w:w="812" w:type="pct"/>
            <w:shd w:val="clear" w:color="auto" w:fill="E1E3F2"/>
          </w:tcPr>
          <w:p w14:paraId="4B3F965D" w14:textId="77777777" w:rsidR="002A4BE3" w:rsidRDefault="002A4BE3" w:rsidP="002A4BE3">
            <w:pPr>
              <w:pStyle w:val="TabletextrowsAgency"/>
            </w:pPr>
          </w:p>
        </w:tc>
        <w:tc>
          <w:tcPr>
            <w:tcW w:w="2006" w:type="pct"/>
            <w:shd w:val="clear" w:color="auto" w:fill="E1E3F2"/>
          </w:tcPr>
          <w:p w14:paraId="61783FC1" w14:textId="77777777" w:rsidR="002A4BE3" w:rsidRDefault="002A4BE3" w:rsidP="002A4BE3">
            <w:pPr>
              <w:pStyle w:val="TabletextrowsAgency"/>
            </w:pPr>
            <w:r>
              <w:t>Comment: For equipment the term “qualification” should be applied, in line with Section 10.1.</w:t>
            </w:r>
          </w:p>
          <w:p w14:paraId="5D32C460" w14:textId="77777777" w:rsidR="002A4BE3" w:rsidRDefault="002A4BE3" w:rsidP="002A4BE3">
            <w:pPr>
              <w:pStyle w:val="TabletextrowsAgency"/>
            </w:pPr>
            <w:r>
              <w:t>Proposed change</w:t>
            </w:r>
            <w:r w:rsidRPr="00B822FC">
              <w:t>:</w:t>
            </w:r>
          </w:p>
          <w:p w14:paraId="7FA47AFA" w14:textId="77777777" w:rsidR="002A4BE3" w:rsidRPr="00AF44E1" w:rsidRDefault="002A4BE3" w:rsidP="002A4BE3">
            <w:pPr>
              <w:pStyle w:val="TabletextrowsAgency"/>
            </w:pPr>
            <w:r w:rsidRPr="00B50884">
              <w:rPr>
                <w:strike/>
                <w:color w:val="FF0000"/>
              </w:rPr>
              <w:t>Validation</w:t>
            </w:r>
            <w:r>
              <w:t xml:space="preserve"> </w:t>
            </w:r>
            <w:r w:rsidRPr="00B50884">
              <w:rPr>
                <w:color w:val="0070C0"/>
              </w:rPr>
              <w:t>Qualification</w:t>
            </w:r>
            <w:r w:rsidRPr="00B50884">
              <w:t xml:space="preserve"> of the equipment: The </w:t>
            </w:r>
            <w:r w:rsidRPr="00B50884">
              <w:rPr>
                <w:strike/>
                <w:color w:val="FF0000"/>
              </w:rPr>
              <w:t>validation</w:t>
            </w:r>
            <w:r w:rsidRPr="00B50884">
              <w:t xml:space="preserve"> </w:t>
            </w:r>
            <w:r w:rsidRPr="00B50884">
              <w:rPr>
                <w:color w:val="0070C0"/>
              </w:rPr>
              <w:t>qualification</w:t>
            </w:r>
            <w:r>
              <w:t xml:space="preserve"> </w:t>
            </w:r>
            <w:r w:rsidRPr="00B50884">
              <w:t>process as described in Section 10.1 2140 applies.</w:t>
            </w:r>
          </w:p>
        </w:tc>
        <w:tc>
          <w:tcPr>
            <w:tcW w:w="1537" w:type="pct"/>
            <w:shd w:val="clear" w:color="auto" w:fill="E1E3F2"/>
          </w:tcPr>
          <w:p w14:paraId="640EBC6F" w14:textId="2131F94E" w:rsidR="002A4BE3" w:rsidRPr="00561BA0" w:rsidRDefault="002A4BE3" w:rsidP="002A4BE3">
            <w:pPr>
              <w:pStyle w:val="TabletextrowsAgency"/>
            </w:pPr>
          </w:p>
        </w:tc>
      </w:tr>
    </w:tbl>
    <w:p w14:paraId="0B2132D4" w14:textId="717F37CE" w:rsidR="0067610E" w:rsidRPr="00B822FC" w:rsidRDefault="0067610E" w:rsidP="00517D4F">
      <w:pPr>
        <w:pStyle w:val="TableFigurenoteAgency"/>
      </w:pPr>
    </w:p>
    <w:sectPr w:rsidR="0067610E" w:rsidRPr="00B822FC">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C770D" w14:textId="77777777" w:rsidR="00AA3FB2" w:rsidRDefault="00AA3FB2">
      <w:r>
        <w:separator/>
      </w:r>
    </w:p>
  </w:endnote>
  <w:endnote w:type="continuationSeparator" w:id="0">
    <w:p w14:paraId="423227E0" w14:textId="77777777" w:rsidR="00AA3FB2" w:rsidRDefault="00AA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AA3FB2" w:rsidRPr="00A44B87" w14:paraId="41A18BB3" w14:textId="77777777" w:rsidTr="0067610E">
      <w:tc>
        <w:tcPr>
          <w:tcW w:w="5000" w:type="pct"/>
          <w:gridSpan w:val="2"/>
          <w:shd w:val="clear" w:color="auto" w:fill="auto"/>
          <w:tcMar>
            <w:left w:w="0" w:type="dxa"/>
            <w:right w:w="0" w:type="dxa"/>
          </w:tcMar>
        </w:tcPr>
        <w:p w14:paraId="1E7D2282" w14:textId="77777777" w:rsidR="00AA3FB2" w:rsidRPr="00A44B87" w:rsidRDefault="00AA3FB2">
          <w:pPr>
            <w:pStyle w:val="FooterAgency"/>
          </w:pPr>
        </w:p>
      </w:tc>
    </w:tr>
    <w:tr w:rsidR="00AA3FB2" w:rsidRPr="00A44B87" w14:paraId="716A0F4C" w14:textId="77777777" w:rsidTr="0067610E">
      <w:trPr>
        <w:trHeight w:val="355"/>
      </w:trPr>
      <w:tc>
        <w:tcPr>
          <w:tcW w:w="3291" w:type="pct"/>
          <w:shd w:val="clear" w:color="auto" w:fill="auto"/>
          <w:tcMar>
            <w:left w:w="0" w:type="dxa"/>
            <w:right w:w="0" w:type="dxa"/>
          </w:tcMar>
        </w:tcPr>
        <w:p w14:paraId="6D792DE3" w14:textId="77777777" w:rsidR="00AA3FB2" w:rsidRPr="00A44B87" w:rsidRDefault="00AA3FB2">
          <w:pPr>
            <w:pStyle w:val="FooterAgency"/>
          </w:pPr>
        </w:p>
      </w:tc>
      <w:tc>
        <w:tcPr>
          <w:tcW w:w="1709" w:type="pct"/>
          <w:shd w:val="clear" w:color="auto" w:fill="auto"/>
          <w:tcMar>
            <w:left w:w="0" w:type="dxa"/>
            <w:right w:w="0" w:type="dxa"/>
          </w:tcMar>
        </w:tcPr>
        <w:p w14:paraId="5CE251D4" w14:textId="77777777" w:rsidR="00AA3FB2" w:rsidRPr="00A44B87" w:rsidRDefault="00AA3FB2">
          <w:pPr>
            <w:pStyle w:val="FooterAgency"/>
          </w:pPr>
        </w:p>
      </w:tc>
    </w:tr>
    <w:tr w:rsidR="00AA3FB2" w:rsidRPr="00A44B87" w14:paraId="07B9F835" w14:textId="77777777" w:rsidTr="0067610E">
      <w:tc>
        <w:tcPr>
          <w:tcW w:w="3291" w:type="pct"/>
          <w:shd w:val="clear" w:color="auto" w:fill="auto"/>
          <w:tcMar>
            <w:left w:w="0" w:type="dxa"/>
            <w:right w:w="0" w:type="dxa"/>
          </w:tcMar>
        </w:tcPr>
        <w:p w14:paraId="0CD9DC49" w14:textId="77777777" w:rsidR="00AA3FB2" w:rsidRPr="00A44B87" w:rsidRDefault="00AA3FB2">
          <w:pPr>
            <w:pStyle w:val="FooterAgency"/>
          </w:pPr>
        </w:p>
      </w:tc>
      <w:tc>
        <w:tcPr>
          <w:tcW w:w="1709" w:type="pct"/>
          <w:shd w:val="clear" w:color="auto" w:fill="auto"/>
          <w:tcMar>
            <w:left w:w="0" w:type="dxa"/>
            <w:right w:w="0" w:type="dxa"/>
          </w:tcMar>
        </w:tcPr>
        <w:p w14:paraId="1CE491CC" w14:textId="616A2793" w:rsidR="00AA3FB2" w:rsidRPr="00A44B87" w:rsidRDefault="00AA3FB2" w:rsidP="0067610E">
          <w:pPr>
            <w:pStyle w:val="PagenumberAgency"/>
            <w:ind w:right="210"/>
          </w:pPr>
          <w:r w:rsidRPr="006E62FC">
            <w:fldChar w:fldCharType="begin"/>
          </w:r>
          <w:r w:rsidRPr="006E62FC">
            <w:instrText xml:space="preserve"> PAGE </w:instrText>
          </w:r>
          <w:r w:rsidRPr="006E62FC">
            <w:fldChar w:fldCharType="separate"/>
          </w:r>
          <w:r w:rsidR="00600EA5">
            <w:rPr>
              <w:noProof/>
            </w:rPr>
            <w:t>13</w:t>
          </w:r>
          <w:r w:rsidRPr="006E62FC">
            <w:fldChar w:fldCharType="end"/>
          </w:r>
          <w:r w:rsidRPr="006E62FC">
            <w:t>/</w:t>
          </w:r>
          <w:fldSimple w:instr=" NUMPAGES ">
            <w:r w:rsidR="00600EA5">
              <w:rPr>
                <w:noProof/>
              </w:rPr>
              <w:t>13</w:t>
            </w:r>
          </w:fldSimple>
        </w:p>
      </w:tc>
    </w:tr>
  </w:tbl>
  <w:p w14:paraId="0473CC78" w14:textId="77777777" w:rsidR="00AA3FB2" w:rsidRDefault="00AA3FB2">
    <w:pPr>
      <w:pStyle w:val="FooterAgency"/>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AA3FB2" w:rsidRPr="00A44B87" w14:paraId="2117E47B" w14:textId="77777777" w:rsidTr="0067610E">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14:paraId="40914BDB" w14:textId="77777777" w:rsidR="00AA3FB2" w:rsidRPr="00A44B87" w:rsidRDefault="00AA3FB2">
          <w:pPr>
            <w:pStyle w:val="FooterAgency"/>
          </w:pPr>
        </w:p>
      </w:tc>
    </w:tr>
    <w:tr w:rsidR="00AA3FB2" w:rsidRPr="0067610E" w14:paraId="6A9312B4" w14:textId="77777777" w:rsidTr="0067610E">
      <w:trPr>
        <w:trHeight w:hRule="exact" w:val="198"/>
      </w:trPr>
      <w:tc>
        <w:tcPr>
          <w:tcW w:w="6206" w:type="dxa"/>
          <w:shd w:val="clear" w:color="auto" w:fill="auto"/>
          <w:tcMar>
            <w:left w:w="0" w:type="dxa"/>
            <w:right w:w="0" w:type="dxa"/>
          </w:tcMar>
          <w:vAlign w:val="bottom"/>
        </w:tcPr>
        <w:p w14:paraId="2CA506F2" w14:textId="77777777" w:rsidR="00AA3FB2" w:rsidRPr="003A07BE" w:rsidRDefault="00AA3FB2">
          <w:pPr>
            <w:pStyle w:val="FooterAgency"/>
          </w:pPr>
          <w:r w:rsidRPr="003A07BE">
            <w:t xml:space="preserve">7 Westferry Circus </w:t>
          </w:r>
          <w:r w:rsidRPr="00696743">
            <w:rPr>
              <w:rStyle w:val="FooterblueAgencyCharChar"/>
            </w:rPr>
            <w:t>●</w:t>
          </w:r>
          <w:r w:rsidRPr="003A07BE">
            <w:t xml:space="preserve"> </w:t>
          </w:r>
          <w:smartTag w:uri="urn:schemas-microsoft-com:office:smarttags" w:element="PlaceName">
            <w:r w:rsidRPr="003A07BE">
              <w:t>Canary</w:t>
            </w:r>
          </w:smartTag>
          <w:r w:rsidRPr="003A07BE">
            <w:t xml:space="preserve"> </w:t>
          </w:r>
          <w:smartTag w:uri="urn:schemas-microsoft-com:office:smarttags" w:element="PlaceType">
            <w:r w:rsidRPr="003A07BE">
              <w:t>Wharf</w:t>
            </w:r>
          </w:smartTag>
          <w:r w:rsidRPr="003A07BE">
            <w:t xml:space="preserve"> </w:t>
          </w:r>
          <w:r w:rsidRPr="00696743">
            <w:rPr>
              <w:rStyle w:val="FooterblueAgencyCharChar"/>
            </w:rPr>
            <w:t>●</w:t>
          </w:r>
          <w:r w:rsidRPr="003A07BE">
            <w:t xml:space="preserve"> </w:t>
          </w:r>
          <w:smartTag w:uri="urn:schemas-microsoft-com:office:smarttags" w:element="City">
            <w:r w:rsidRPr="003A07BE">
              <w:t>London</w:t>
            </w:r>
          </w:smartTag>
          <w:r w:rsidRPr="003A07BE">
            <w:t xml:space="preserve"> E14 4HB </w:t>
          </w:r>
          <w:r w:rsidRPr="00696743">
            <w:rPr>
              <w:rStyle w:val="FooterblueAgencyCharChar"/>
            </w:rPr>
            <w:t>●</w:t>
          </w:r>
          <w:r w:rsidRPr="003A07BE">
            <w:t xml:space="preserve"> </w:t>
          </w:r>
          <w:smartTag w:uri="urn:schemas-microsoft-com:office:smarttags" w:element="country-region">
            <w:smartTag w:uri="urn:schemas-microsoft-com:office:smarttags" w:element="place">
              <w:r w:rsidRPr="003A07BE">
                <w:t>United Kingdom</w:t>
              </w:r>
            </w:smartTag>
          </w:smartTag>
        </w:p>
      </w:tc>
      <w:tc>
        <w:tcPr>
          <w:tcW w:w="3207" w:type="dxa"/>
          <w:vMerge w:val="restart"/>
          <w:shd w:val="clear" w:color="auto" w:fill="auto"/>
          <w:tcMar>
            <w:left w:w="0" w:type="dxa"/>
            <w:right w:w="0" w:type="dxa"/>
          </w:tcMar>
          <w:vAlign w:val="bottom"/>
        </w:tcPr>
        <w:tbl>
          <w:tblPr>
            <w:tblW w:w="0" w:type="auto"/>
            <w:jc w:val="right"/>
            <w:tblLook w:val="01E0" w:firstRow="1" w:lastRow="1" w:firstColumn="1" w:lastColumn="1" w:noHBand="0" w:noVBand="0"/>
          </w:tblPr>
          <w:tblGrid>
            <w:gridCol w:w="2478"/>
            <w:gridCol w:w="725"/>
          </w:tblGrid>
          <w:tr w:rsidR="00AA3FB2" w:rsidRPr="00A44B87" w14:paraId="48473FD2" w14:textId="77777777" w:rsidTr="0067610E">
            <w:trPr>
              <w:trHeight w:val="180"/>
              <w:tblHeader/>
              <w:jc w:val="right"/>
            </w:trPr>
            <w:tc>
              <w:tcPr>
                <w:tcW w:w="2478" w:type="dxa"/>
                <w:vMerge w:val="restart"/>
                <w:tcBorders>
                  <w:top w:val="nil"/>
                  <w:left w:val="nil"/>
                  <w:bottom w:val="nil"/>
                  <w:right w:val="nil"/>
                  <w:tl2br w:val="nil"/>
                  <w:tr2bl w:val="nil"/>
                </w:tcBorders>
                <w:shd w:val="clear" w:color="auto" w:fill="auto"/>
                <w:vAlign w:val="bottom"/>
              </w:tcPr>
              <w:p w14:paraId="52083799" w14:textId="77777777" w:rsidR="00AA3FB2" w:rsidRPr="00A44B87" w:rsidRDefault="00AA3FB2" w:rsidP="0067610E">
                <w:pPr>
                  <w:pStyle w:val="FooterAgency"/>
                  <w:jc w:val="right"/>
                </w:pPr>
                <w:r w:rsidRPr="0067610E">
                  <w:rPr>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14:paraId="2049BF93" w14:textId="4890A670" w:rsidR="00AA3FB2" w:rsidRPr="00A44B87" w:rsidRDefault="00AA3FB2" w:rsidP="0067610E">
                <w:pPr>
                  <w:pStyle w:val="FooterAgency"/>
                  <w:jc w:val="right"/>
                </w:pPr>
                <w:r>
                  <w:rPr>
                    <w:noProof/>
                  </w:rPr>
                  <w:drawing>
                    <wp:inline distT="0" distB="0" distL="0" distR="0" wp14:anchorId="6817E6C9" wp14:editId="3B76686B">
                      <wp:extent cx="387985" cy="262890"/>
                      <wp:effectExtent l="0" t="0" r="0" b="0"/>
                      <wp:docPr id="2" name="Picture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 cy="262890"/>
                              </a:xfrm>
                              <a:prstGeom prst="rect">
                                <a:avLst/>
                              </a:prstGeom>
                              <a:noFill/>
                              <a:ln>
                                <a:noFill/>
                              </a:ln>
                            </pic:spPr>
                          </pic:pic>
                        </a:graphicData>
                      </a:graphic>
                    </wp:inline>
                  </w:drawing>
                </w:r>
              </w:p>
            </w:tc>
          </w:tr>
          <w:tr w:rsidR="00AA3FB2" w:rsidRPr="00A44B87" w14:paraId="516584FF" w14:textId="77777777" w:rsidTr="0067610E">
            <w:trPr>
              <w:trHeight w:val="390"/>
              <w:jc w:val="right"/>
            </w:trPr>
            <w:tc>
              <w:tcPr>
                <w:tcW w:w="2478" w:type="dxa"/>
                <w:vMerge/>
                <w:shd w:val="clear" w:color="auto" w:fill="auto"/>
                <w:vAlign w:val="bottom"/>
              </w:tcPr>
              <w:p w14:paraId="706837D3" w14:textId="77777777" w:rsidR="00AA3FB2" w:rsidRPr="00A44B87" w:rsidRDefault="00AA3FB2">
                <w:pPr>
                  <w:pStyle w:val="FooterAgency"/>
                </w:pPr>
              </w:p>
            </w:tc>
            <w:tc>
              <w:tcPr>
                <w:tcW w:w="709" w:type="dxa"/>
                <w:vMerge/>
                <w:shd w:val="clear" w:color="auto" w:fill="auto"/>
                <w:vAlign w:val="bottom"/>
              </w:tcPr>
              <w:p w14:paraId="69328001" w14:textId="77777777" w:rsidR="00AA3FB2" w:rsidRPr="00A44B87" w:rsidRDefault="00AA3FB2">
                <w:pPr>
                  <w:pStyle w:val="FooterAgency"/>
                </w:pPr>
              </w:p>
            </w:tc>
          </w:tr>
        </w:tbl>
        <w:p w14:paraId="3EAC1449" w14:textId="77777777" w:rsidR="00AA3FB2" w:rsidRPr="00A44B87" w:rsidRDefault="00AA3FB2" w:rsidP="0067610E">
          <w:pPr>
            <w:pStyle w:val="FooterAgency"/>
            <w:widowControl w:val="0"/>
            <w:adjustRightInd w:val="0"/>
            <w:jc w:val="right"/>
          </w:pPr>
        </w:p>
      </w:tc>
    </w:tr>
    <w:tr w:rsidR="00AA3FB2" w:rsidRPr="0067610E" w14:paraId="7BF13D2D" w14:textId="77777777" w:rsidTr="0067610E">
      <w:trPr>
        <w:trHeight w:val="390"/>
      </w:trPr>
      <w:tc>
        <w:tcPr>
          <w:tcW w:w="6206" w:type="dxa"/>
          <w:shd w:val="clear" w:color="auto" w:fill="auto"/>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AA3FB2" w:rsidRPr="003A07BE" w14:paraId="0BBEF8C1" w14:textId="77777777">
            <w:trPr>
              <w:trHeight w:hRule="exact" w:val="198"/>
            </w:trPr>
            <w:tc>
              <w:tcPr>
                <w:tcW w:w="840" w:type="dxa"/>
                <w:gridSpan w:val="2"/>
                <w:vAlign w:val="bottom"/>
              </w:tcPr>
              <w:p w14:paraId="27416998" w14:textId="77777777" w:rsidR="00AA3FB2" w:rsidRPr="003A07BE" w:rsidRDefault="00AA3FB2">
                <w:pPr>
                  <w:pStyle w:val="FooterblueAgency"/>
                </w:pPr>
                <w:r w:rsidRPr="003A07BE">
                  <w:t>Telephone</w:t>
                </w:r>
              </w:p>
            </w:tc>
            <w:tc>
              <w:tcPr>
                <w:tcW w:w="1648" w:type="dxa"/>
                <w:gridSpan w:val="2"/>
                <w:vAlign w:val="bottom"/>
              </w:tcPr>
              <w:p w14:paraId="137CBCC5" w14:textId="77777777" w:rsidR="00AA3FB2" w:rsidRPr="003A07BE" w:rsidRDefault="00AA3FB2">
                <w:pPr>
                  <w:pStyle w:val="FooterAgency"/>
                </w:pPr>
                <w:r w:rsidRPr="003A07BE">
                  <w:t>+44 (0)20 7418 8400</w:t>
                </w:r>
              </w:p>
            </w:tc>
            <w:tc>
              <w:tcPr>
                <w:tcW w:w="726" w:type="dxa"/>
                <w:gridSpan w:val="2"/>
                <w:vAlign w:val="bottom"/>
              </w:tcPr>
              <w:p w14:paraId="33628F29" w14:textId="77777777" w:rsidR="00AA3FB2" w:rsidRPr="003A07BE" w:rsidRDefault="00AA3FB2">
                <w:pPr>
                  <w:pStyle w:val="FooterblueAgency"/>
                </w:pPr>
                <w:r w:rsidRPr="003A07BE">
                  <w:t>Facsimile</w:t>
                </w:r>
              </w:p>
            </w:tc>
            <w:tc>
              <w:tcPr>
                <w:tcW w:w="2767" w:type="dxa"/>
                <w:vAlign w:val="bottom"/>
              </w:tcPr>
              <w:p w14:paraId="671AD735" w14:textId="77777777" w:rsidR="00AA3FB2" w:rsidRPr="003A07BE" w:rsidRDefault="00AA3FB2">
                <w:pPr>
                  <w:pStyle w:val="FooterAgency"/>
                </w:pPr>
                <w:r w:rsidRPr="003A07BE">
                  <w:t>+44 (0)20 7</w:t>
                </w:r>
                <w:r>
                  <w:t>418 8416</w:t>
                </w:r>
              </w:p>
            </w:tc>
          </w:tr>
          <w:tr w:rsidR="00AA3FB2" w:rsidRPr="003A07BE" w14:paraId="55D7ACED" w14:textId="77777777">
            <w:trPr>
              <w:trHeight w:hRule="exact" w:val="198"/>
            </w:trPr>
            <w:tc>
              <w:tcPr>
                <w:tcW w:w="522" w:type="dxa"/>
                <w:vAlign w:val="bottom"/>
              </w:tcPr>
              <w:p w14:paraId="3859B830" w14:textId="77777777" w:rsidR="00AA3FB2" w:rsidRPr="003A07BE" w:rsidRDefault="00AA3FB2">
                <w:pPr>
                  <w:pStyle w:val="FooterblueAgency"/>
                </w:pPr>
                <w:r w:rsidRPr="003A07BE">
                  <w:t>E-mail</w:t>
                </w:r>
              </w:p>
            </w:tc>
            <w:tc>
              <w:tcPr>
                <w:tcW w:w="1566" w:type="dxa"/>
                <w:gridSpan w:val="2"/>
                <w:vAlign w:val="bottom"/>
              </w:tcPr>
              <w:p w14:paraId="64FBEC7E" w14:textId="77777777" w:rsidR="00AA3FB2" w:rsidRPr="003A07BE" w:rsidRDefault="00AA3FB2">
                <w:pPr>
                  <w:pStyle w:val="FooterAgency"/>
                </w:pPr>
                <w:r w:rsidRPr="003A07BE">
                  <w:t>info@ema.europa.eu</w:t>
                </w:r>
              </w:p>
            </w:tc>
            <w:tc>
              <w:tcPr>
                <w:tcW w:w="649" w:type="dxa"/>
                <w:gridSpan w:val="2"/>
                <w:vAlign w:val="bottom"/>
              </w:tcPr>
              <w:p w14:paraId="2FAC7C8F" w14:textId="77777777" w:rsidR="00AA3FB2" w:rsidRPr="003A07BE" w:rsidRDefault="00AA3FB2">
                <w:pPr>
                  <w:pStyle w:val="FooterblueAgency"/>
                </w:pPr>
                <w:r w:rsidRPr="003A07BE">
                  <w:t>Website</w:t>
                </w:r>
              </w:p>
            </w:tc>
            <w:tc>
              <w:tcPr>
                <w:tcW w:w="3244" w:type="dxa"/>
                <w:gridSpan w:val="2"/>
                <w:vAlign w:val="bottom"/>
              </w:tcPr>
              <w:p w14:paraId="07334B2D" w14:textId="77777777" w:rsidR="00AA3FB2" w:rsidRPr="003A07BE" w:rsidRDefault="00AA3FB2">
                <w:pPr>
                  <w:pStyle w:val="FooterAgency"/>
                </w:pPr>
                <w:r w:rsidRPr="003A07BE">
                  <w:t>www.ema.europa.eu</w:t>
                </w:r>
              </w:p>
            </w:tc>
          </w:tr>
        </w:tbl>
        <w:p w14:paraId="4E11E70C" w14:textId="77777777" w:rsidR="00AA3FB2" w:rsidRPr="003A07BE" w:rsidRDefault="00AA3FB2">
          <w:pPr>
            <w:pStyle w:val="FooterAgency"/>
          </w:pPr>
        </w:p>
      </w:tc>
      <w:tc>
        <w:tcPr>
          <w:tcW w:w="3207" w:type="dxa"/>
          <w:vMerge/>
          <w:shd w:val="clear" w:color="auto" w:fill="auto"/>
          <w:tcMar>
            <w:left w:w="0" w:type="dxa"/>
            <w:right w:w="0" w:type="dxa"/>
          </w:tcMar>
          <w:vAlign w:val="bottom"/>
        </w:tcPr>
        <w:p w14:paraId="1FD9A73B" w14:textId="77777777" w:rsidR="00AA3FB2" w:rsidRPr="00A44B87" w:rsidRDefault="00AA3FB2">
          <w:pPr>
            <w:pStyle w:val="FooterAgency"/>
          </w:pPr>
        </w:p>
      </w:tc>
    </w:tr>
    <w:tr w:rsidR="00AA3FB2" w:rsidRPr="00A44B87" w14:paraId="498A0549" w14:textId="77777777" w:rsidTr="0067610E">
      <w:tc>
        <w:tcPr>
          <w:tcW w:w="9413" w:type="dxa"/>
          <w:gridSpan w:val="2"/>
          <w:shd w:val="clear" w:color="auto" w:fill="auto"/>
          <w:tcMar>
            <w:left w:w="0" w:type="dxa"/>
            <w:right w:w="0" w:type="dxa"/>
          </w:tcMar>
          <w:vAlign w:val="bottom"/>
        </w:tcPr>
        <w:p w14:paraId="70C4D0C5" w14:textId="77777777" w:rsidR="00AA3FB2" w:rsidRPr="00A44B87" w:rsidRDefault="00AA3FB2">
          <w:pPr>
            <w:pStyle w:val="FooterAgency"/>
          </w:pPr>
        </w:p>
      </w:tc>
    </w:tr>
    <w:tr w:rsidR="00AA3FB2" w:rsidRPr="00A44B87" w14:paraId="57CCF579" w14:textId="77777777" w:rsidTr="0067610E">
      <w:tc>
        <w:tcPr>
          <w:tcW w:w="9413" w:type="dxa"/>
          <w:gridSpan w:val="2"/>
          <w:shd w:val="clear" w:color="auto" w:fill="auto"/>
          <w:tcMar>
            <w:left w:w="0" w:type="dxa"/>
            <w:right w:w="0" w:type="dxa"/>
          </w:tcMar>
          <w:vAlign w:val="bottom"/>
        </w:tcPr>
        <w:p w14:paraId="4EF994C4" w14:textId="77777777" w:rsidR="00AA3FB2" w:rsidRPr="00CE789B" w:rsidRDefault="00AA3FB2" w:rsidP="0067610E">
          <w:pPr>
            <w:pStyle w:val="FooterAgency"/>
            <w:jc w:val="center"/>
          </w:pPr>
        </w:p>
      </w:tc>
    </w:tr>
  </w:tbl>
  <w:p w14:paraId="6CF20DBA" w14:textId="77777777" w:rsidR="00AA3FB2" w:rsidRDefault="00AA3FB2">
    <w:pPr>
      <w:pStyle w:val="FooterAgenc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6407F" w14:textId="77777777" w:rsidR="00AA3FB2" w:rsidRDefault="00AA3FB2">
      <w:r>
        <w:separator/>
      </w:r>
    </w:p>
  </w:footnote>
  <w:footnote w:type="continuationSeparator" w:id="0">
    <w:p w14:paraId="3B13031C" w14:textId="77777777" w:rsidR="00AA3FB2" w:rsidRDefault="00AA3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1A7BD" w14:textId="6799A1B3" w:rsidR="00AA3FB2" w:rsidRDefault="00AA3FB2">
    <w:pPr>
      <w:pStyle w:val="FooterAgency"/>
      <w:jc w:val="center"/>
    </w:pPr>
    <w:r>
      <w:rPr>
        <w:noProof/>
      </w:rPr>
      <w:drawing>
        <wp:inline distT="0" distB="0" distL="0" distR="0" wp14:anchorId="59E95969" wp14:editId="5B0EF353">
          <wp:extent cx="3559175" cy="1795780"/>
          <wp:effectExtent l="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9175" cy="1795780"/>
                  </a:xfrm>
                  <a:prstGeom prst="rect">
                    <a:avLst/>
                  </a:prstGeom>
                  <a:noFill/>
                  <a:ln>
                    <a:noFill/>
                  </a:ln>
                </pic:spPr>
              </pic:pic>
            </a:graphicData>
          </a:graphic>
        </wp:inline>
      </w:drawing>
    </w:r>
    <w:r w:rsidRPr="00233628">
      <w:rPr>
        <w:vanish/>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C9A00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5">
    <w:nsid w:val="3F3471B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7">
    <w:nsid w:val="665930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num>
  <w:num w:numId="2">
    <w:abstractNumId w:val="12"/>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4"/>
  </w:num>
  <w:num w:numId="13">
    <w:abstractNumId w:val="11"/>
  </w:num>
  <w:num w:numId="14">
    <w:abstractNumId w:val="17"/>
  </w:num>
  <w:num w:numId="15">
    <w:abstractNumId w:val="13"/>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2"/>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DisplayPageBoundaries/>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12EF5"/>
    <w:rsid w:val="000007A5"/>
    <w:rsid w:val="0000376D"/>
    <w:rsid w:val="00012EF5"/>
    <w:rsid w:val="000B7073"/>
    <w:rsid w:val="000F2321"/>
    <w:rsid w:val="000F64F9"/>
    <w:rsid w:val="0013485F"/>
    <w:rsid w:val="00143FB9"/>
    <w:rsid w:val="001615E0"/>
    <w:rsid w:val="00181A33"/>
    <w:rsid w:val="001B5CFF"/>
    <w:rsid w:val="001D005A"/>
    <w:rsid w:val="001D0FA2"/>
    <w:rsid w:val="001D3FED"/>
    <w:rsid w:val="0025152A"/>
    <w:rsid w:val="002535FD"/>
    <w:rsid w:val="0027207D"/>
    <w:rsid w:val="00291713"/>
    <w:rsid w:val="002A4BE3"/>
    <w:rsid w:val="002A6A38"/>
    <w:rsid w:val="002B1547"/>
    <w:rsid w:val="002D764D"/>
    <w:rsid w:val="00341F05"/>
    <w:rsid w:val="003437B0"/>
    <w:rsid w:val="00354B64"/>
    <w:rsid w:val="00362C1A"/>
    <w:rsid w:val="00383E8C"/>
    <w:rsid w:val="00385F29"/>
    <w:rsid w:val="0039181F"/>
    <w:rsid w:val="003B0E43"/>
    <w:rsid w:val="003B4556"/>
    <w:rsid w:val="003B768B"/>
    <w:rsid w:val="003C1331"/>
    <w:rsid w:val="003D56F4"/>
    <w:rsid w:val="003E7303"/>
    <w:rsid w:val="003F46D9"/>
    <w:rsid w:val="00401A76"/>
    <w:rsid w:val="00426031"/>
    <w:rsid w:val="00436315"/>
    <w:rsid w:val="00447C69"/>
    <w:rsid w:val="0046530A"/>
    <w:rsid w:val="00467B13"/>
    <w:rsid w:val="004E3C38"/>
    <w:rsid w:val="004F17FB"/>
    <w:rsid w:val="00504CEA"/>
    <w:rsid w:val="00517D4F"/>
    <w:rsid w:val="005553F7"/>
    <w:rsid w:val="005D0B82"/>
    <w:rsid w:val="00600EA5"/>
    <w:rsid w:val="0061131B"/>
    <w:rsid w:val="00621A4B"/>
    <w:rsid w:val="0067610E"/>
    <w:rsid w:val="00690292"/>
    <w:rsid w:val="00690B90"/>
    <w:rsid w:val="006E3546"/>
    <w:rsid w:val="006F2348"/>
    <w:rsid w:val="00720A87"/>
    <w:rsid w:val="00764A5C"/>
    <w:rsid w:val="007810B2"/>
    <w:rsid w:val="007A7DF7"/>
    <w:rsid w:val="007B1D21"/>
    <w:rsid w:val="007C0B96"/>
    <w:rsid w:val="007C5B96"/>
    <w:rsid w:val="00811834"/>
    <w:rsid w:val="008151A1"/>
    <w:rsid w:val="008216F0"/>
    <w:rsid w:val="00822AE1"/>
    <w:rsid w:val="00851116"/>
    <w:rsid w:val="008F48C3"/>
    <w:rsid w:val="00902230"/>
    <w:rsid w:val="0091154A"/>
    <w:rsid w:val="00920E44"/>
    <w:rsid w:val="00923544"/>
    <w:rsid w:val="00960D82"/>
    <w:rsid w:val="00964035"/>
    <w:rsid w:val="00986334"/>
    <w:rsid w:val="00997D7F"/>
    <w:rsid w:val="009B457B"/>
    <w:rsid w:val="009C676A"/>
    <w:rsid w:val="00A14A48"/>
    <w:rsid w:val="00A14B68"/>
    <w:rsid w:val="00A50418"/>
    <w:rsid w:val="00A50817"/>
    <w:rsid w:val="00A605F7"/>
    <w:rsid w:val="00AA2469"/>
    <w:rsid w:val="00AA3FB2"/>
    <w:rsid w:val="00AC1720"/>
    <w:rsid w:val="00AF36C2"/>
    <w:rsid w:val="00AF44E1"/>
    <w:rsid w:val="00B02601"/>
    <w:rsid w:val="00B03032"/>
    <w:rsid w:val="00B14A98"/>
    <w:rsid w:val="00B44719"/>
    <w:rsid w:val="00B50884"/>
    <w:rsid w:val="00B54751"/>
    <w:rsid w:val="00B579AF"/>
    <w:rsid w:val="00B7207F"/>
    <w:rsid w:val="00B93F24"/>
    <w:rsid w:val="00BA11CB"/>
    <w:rsid w:val="00BA472A"/>
    <w:rsid w:val="00BC2CF1"/>
    <w:rsid w:val="00BC336C"/>
    <w:rsid w:val="00BC442C"/>
    <w:rsid w:val="00BF1A27"/>
    <w:rsid w:val="00C02A3D"/>
    <w:rsid w:val="00C04CE9"/>
    <w:rsid w:val="00C2485C"/>
    <w:rsid w:val="00C310CA"/>
    <w:rsid w:val="00C34FF7"/>
    <w:rsid w:val="00C51F77"/>
    <w:rsid w:val="00C52FAE"/>
    <w:rsid w:val="00C73C77"/>
    <w:rsid w:val="00C8482D"/>
    <w:rsid w:val="00CA22D6"/>
    <w:rsid w:val="00CC1269"/>
    <w:rsid w:val="00CC2AF4"/>
    <w:rsid w:val="00CE0785"/>
    <w:rsid w:val="00CE0F94"/>
    <w:rsid w:val="00CE51EC"/>
    <w:rsid w:val="00D32521"/>
    <w:rsid w:val="00D470EB"/>
    <w:rsid w:val="00DB5274"/>
    <w:rsid w:val="00E01FEA"/>
    <w:rsid w:val="00E06257"/>
    <w:rsid w:val="00E17100"/>
    <w:rsid w:val="00E25857"/>
    <w:rsid w:val="00E70A40"/>
    <w:rsid w:val="00E75180"/>
    <w:rsid w:val="00EA7E91"/>
    <w:rsid w:val="00ED74C5"/>
    <w:rsid w:val="00F1214A"/>
    <w:rsid w:val="00F439B4"/>
    <w:rsid w:val="00F50023"/>
    <w:rsid w:val="00F65471"/>
    <w:rsid w:val="00F65DA8"/>
    <w:rsid w:val="00FC15C1"/>
    <w:rsid w:val="00FE0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14:docId w14:val="57B4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cs="Verdana"/>
      <w:sz w:val="18"/>
      <w:szCs w:val="18"/>
      <w:lang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link w:val="FooterAgencyCharChar"/>
    <w:semiHidden/>
    <w:rPr>
      <w:rFonts w:eastAsia="Verdana"/>
      <w:color w:val="6D6F71"/>
      <w:sz w:val="14"/>
      <w:szCs w:val="14"/>
      <w:lang w:eastAsia="en-GB"/>
    </w:rPr>
  </w:style>
  <w:style w:type="paragraph" w:customStyle="1" w:styleId="FooterblueAgency">
    <w:name w:val="Footer blue (Agency)"/>
    <w:basedOn w:val="Normal"/>
    <w:link w:val="FooterblueAgencyCharChar"/>
    <w:semiHidden/>
    <w:rPr>
      <w:rFonts w:eastAsia="Verdana"/>
      <w:b/>
      <w:color w:val="003399"/>
      <w:sz w:val="13"/>
      <w:szCs w:val="14"/>
      <w:lang w:eastAsia="en-GB"/>
    </w:rPr>
  </w:style>
  <w:style w:type="table" w:customStyle="1" w:styleId="FootertableAgency">
    <w:name w:val="Footer table (Agency)"/>
    <w:basedOn w:val="TableNormal"/>
    <w:semiHidden/>
    <w:rPr>
      <w:rFonts w:ascii="Verdana" w:hAnsi="Verdana"/>
    </w:rPr>
    <w:tblPr/>
    <w:tcPr>
      <w:shd w:val="clear" w:color="auto" w:fill="auto"/>
      <w:tcMar>
        <w:left w:w="0" w:type="dxa"/>
        <w:right w:w="0" w:type="dxa"/>
      </w:tcMar>
    </w:tcPr>
    <w:tblStylePr w:type="firstRow">
      <w:rPr>
        <w:rFonts w:ascii="Segoe UI Semibold" w:hAnsi="Segoe UI Semibold"/>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link w:val="PagenumberAgency"/>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Pr>
      <w:rFonts w:ascii="Verdana" w:hAnsi="Verdana"/>
      <w:sz w:val="18"/>
    </w:rPr>
    <w:tblPr/>
    <w:tcPr>
      <w:shd w:val="clear" w:color="auto" w:fill="auto"/>
    </w:tcPr>
    <w:tblStylePr w:type="firstRow">
      <w:rPr>
        <w:rFonts w:ascii="Calibri" w:hAnsi="Calibri"/>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pPr>
      <w:spacing w:after="140" w:line="280" w:lineRule="atLeast"/>
    </w:pPr>
  </w:style>
  <w:style w:type="paragraph" w:customStyle="1" w:styleId="BodytextAgency">
    <w:name w:val="Body text (Agency)"/>
    <w:basedOn w:val="Normal"/>
    <w:link w:val="BodytextAgencyChar"/>
    <w:pPr>
      <w:spacing w:after="140" w:line="280" w:lineRule="atLeast"/>
    </w:pPr>
    <w:rPr>
      <w:rFonts w:eastAsia="Verdana"/>
      <w:lang w:eastAsia="en-GB"/>
    </w:rPr>
  </w:style>
  <w:style w:type="numbering" w:customStyle="1" w:styleId="BulletsAgency">
    <w:name w:val="Bullets (Agency)"/>
    <w:basedOn w:val="NoList"/>
    <w:pPr>
      <w:numPr>
        <w:numId w:val="1"/>
      </w:numPr>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No-numheading4Agency">
    <w:name w:val="No-num heading 4 (Agency)"/>
    <w:basedOn w:val="Heading4Agency"/>
    <w:next w:val="BodytextAgency"/>
    <w:semiHidden/>
    <w:pPr>
      <w:numPr>
        <w:ilvl w:val="0"/>
        <w:numId w:val="0"/>
      </w:numPr>
    </w:pPr>
  </w:style>
  <w:style w:type="paragraph" w:customStyle="1" w:styleId="No-numheading5Agency">
    <w:name w:val="No-num heading 5 (Agency)"/>
    <w:basedOn w:val="Heading5Agency"/>
    <w:next w:val="BodytextAgency"/>
    <w:semiHidden/>
    <w:pPr>
      <w:numPr>
        <w:ilvl w:val="0"/>
        <w:numId w:val="0"/>
      </w:numPr>
    </w:pPr>
  </w:style>
  <w:style w:type="paragraph" w:customStyle="1" w:styleId="No-numheading6Agency">
    <w:name w:val="No-num heading 6 (Agency)"/>
    <w:basedOn w:val="No-numheading5Agency"/>
    <w:next w:val="BodytextAgency"/>
    <w:semiHidden/>
    <w:pPr>
      <w:outlineLvl w:val="5"/>
    </w:p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customStyle="1" w:styleId="NormalAgency">
    <w:name w:val="Normal (Agency)"/>
    <w:rPr>
      <w:rFonts w:ascii="Verdana" w:eastAsia="Verdana" w:hAnsi="Verdana" w:cs="Verdana"/>
      <w:sz w:val="18"/>
      <w:szCs w:val="18"/>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pPr>
      <w:numPr>
        <w:numId w:val="12"/>
      </w:numPr>
    </w:p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table" w:customStyle="1" w:styleId="TablegridAgency">
    <w:name w:val="Table grid (Agency)"/>
    <w:basedOn w:val="TableNormal"/>
    <w:semiHidden/>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rebuchet MS" w:hAnsi="Trebuchet MS"/>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Calibri" w:hAnsi="Calibri"/>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uiPriority w:val="99"/>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link w:val="DocsubtitleAgency"/>
    <w:rPr>
      <w:rFonts w:ascii="Verdana" w:eastAsia="Verdana" w:hAnsi="Verdana" w:cs="Verdana"/>
      <w:sz w:val="24"/>
      <w:szCs w:val="24"/>
      <w:lang w:val="en-GB" w:eastAsia="en-GB" w:bidi="ar-SA"/>
    </w:rPr>
  </w:style>
  <w:style w:type="character" w:customStyle="1" w:styleId="BodytextAgencyChar">
    <w:name w:val="Body text (Agency) Char"/>
    <w:link w:val="BodytextAgency"/>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character" w:customStyle="1" w:styleId="HTMLAddressChar">
    <w:name w:val="HTML Address Char"/>
    <w:basedOn w:val="DefaultParagraphFont"/>
    <w:link w:val="HTMLAddress"/>
    <w:uiPriority w:val="99"/>
    <w:semiHidden/>
    <w:rsid w:val="002A6A38"/>
    <w:rPr>
      <w:rFonts w:ascii="Verdana" w:hAnsi="Verdana" w:cs="Verdana"/>
      <w:i/>
      <w:iCs/>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cs="Verdana"/>
      <w:sz w:val="18"/>
      <w:szCs w:val="18"/>
      <w:lang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link w:val="FooterAgencyCharChar"/>
    <w:semiHidden/>
    <w:rPr>
      <w:rFonts w:eastAsia="Verdana"/>
      <w:color w:val="6D6F71"/>
      <w:sz w:val="14"/>
      <w:szCs w:val="14"/>
      <w:lang w:eastAsia="en-GB"/>
    </w:rPr>
  </w:style>
  <w:style w:type="paragraph" w:customStyle="1" w:styleId="FooterblueAgency">
    <w:name w:val="Footer blue (Agency)"/>
    <w:basedOn w:val="Normal"/>
    <w:link w:val="FooterblueAgencyCharChar"/>
    <w:semiHidden/>
    <w:rPr>
      <w:rFonts w:eastAsia="Verdana"/>
      <w:b/>
      <w:color w:val="003399"/>
      <w:sz w:val="13"/>
      <w:szCs w:val="14"/>
      <w:lang w:eastAsia="en-GB"/>
    </w:rPr>
  </w:style>
  <w:style w:type="table" w:customStyle="1" w:styleId="FootertableAgency">
    <w:name w:val="Footer table (Agency)"/>
    <w:basedOn w:val="TableNormal"/>
    <w:semiHidden/>
    <w:rPr>
      <w:rFonts w:ascii="Verdana" w:hAnsi="Verdana"/>
    </w:rPr>
    <w:tblPr/>
    <w:tcPr>
      <w:shd w:val="clear" w:color="auto" w:fill="auto"/>
      <w:tcMar>
        <w:left w:w="0" w:type="dxa"/>
        <w:right w:w="0" w:type="dxa"/>
      </w:tcMar>
    </w:tcPr>
    <w:tblStylePr w:type="firstRow">
      <w:rPr>
        <w:rFonts w:ascii="Segoe UI Semibold" w:hAnsi="Segoe UI Semibold"/>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link w:val="PagenumberAgency"/>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Pr>
      <w:rFonts w:ascii="Verdana" w:hAnsi="Verdana"/>
      <w:sz w:val="18"/>
    </w:rPr>
    <w:tblPr/>
    <w:tcPr>
      <w:shd w:val="clear" w:color="auto" w:fill="auto"/>
    </w:tcPr>
    <w:tblStylePr w:type="firstRow">
      <w:rPr>
        <w:rFonts w:ascii="Calibri" w:hAnsi="Calibri"/>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pPr>
      <w:spacing w:after="140" w:line="280" w:lineRule="atLeast"/>
    </w:pPr>
  </w:style>
  <w:style w:type="paragraph" w:customStyle="1" w:styleId="BodytextAgency">
    <w:name w:val="Body text (Agency)"/>
    <w:basedOn w:val="Normal"/>
    <w:link w:val="BodytextAgencyChar"/>
    <w:pPr>
      <w:spacing w:after="140" w:line="280" w:lineRule="atLeast"/>
    </w:pPr>
    <w:rPr>
      <w:rFonts w:eastAsia="Verdana"/>
      <w:lang w:eastAsia="en-GB"/>
    </w:rPr>
  </w:style>
  <w:style w:type="numbering" w:customStyle="1" w:styleId="BulletsAgency">
    <w:name w:val="Bullets (Agency)"/>
    <w:basedOn w:val="NoList"/>
    <w:pPr>
      <w:numPr>
        <w:numId w:val="1"/>
      </w:numPr>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No-numheading4Agency">
    <w:name w:val="No-num heading 4 (Agency)"/>
    <w:basedOn w:val="Heading4Agency"/>
    <w:next w:val="BodytextAgency"/>
    <w:semiHidden/>
    <w:pPr>
      <w:numPr>
        <w:ilvl w:val="0"/>
        <w:numId w:val="0"/>
      </w:numPr>
    </w:pPr>
  </w:style>
  <w:style w:type="paragraph" w:customStyle="1" w:styleId="No-numheading5Agency">
    <w:name w:val="No-num heading 5 (Agency)"/>
    <w:basedOn w:val="Heading5Agency"/>
    <w:next w:val="BodytextAgency"/>
    <w:semiHidden/>
    <w:pPr>
      <w:numPr>
        <w:ilvl w:val="0"/>
        <w:numId w:val="0"/>
      </w:numPr>
    </w:pPr>
  </w:style>
  <w:style w:type="paragraph" w:customStyle="1" w:styleId="No-numheading6Agency">
    <w:name w:val="No-num heading 6 (Agency)"/>
    <w:basedOn w:val="No-numheading5Agency"/>
    <w:next w:val="BodytextAgency"/>
    <w:semiHidden/>
    <w:pPr>
      <w:outlineLvl w:val="5"/>
    </w:p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customStyle="1" w:styleId="NormalAgency">
    <w:name w:val="Normal (Agency)"/>
    <w:rPr>
      <w:rFonts w:ascii="Verdana" w:eastAsia="Verdana" w:hAnsi="Verdana" w:cs="Verdana"/>
      <w:sz w:val="18"/>
      <w:szCs w:val="18"/>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pPr>
      <w:numPr>
        <w:numId w:val="12"/>
      </w:numPr>
    </w:p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table" w:customStyle="1" w:styleId="TablegridAgency">
    <w:name w:val="Table grid (Agency)"/>
    <w:basedOn w:val="TableNormal"/>
    <w:semiHidden/>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rebuchet MS" w:hAnsi="Trebuchet MS"/>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Calibri" w:hAnsi="Calibri"/>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uiPriority w:val="99"/>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link w:val="DocsubtitleAgency"/>
    <w:rPr>
      <w:rFonts w:ascii="Verdana" w:eastAsia="Verdana" w:hAnsi="Verdana" w:cs="Verdana"/>
      <w:sz w:val="24"/>
      <w:szCs w:val="24"/>
      <w:lang w:val="en-GB" w:eastAsia="en-GB" w:bidi="ar-SA"/>
    </w:rPr>
  </w:style>
  <w:style w:type="character" w:customStyle="1" w:styleId="BodytextAgencyChar">
    <w:name w:val="Body text (Agency) Char"/>
    <w:link w:val="BodytextAgency"/>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character" w:customStyle="1" w:styleId="HTMLAddressChar">
    <w:name w:val="HTML Address Char"/>
    <w:basedOn w:val="DefaultParagraphFont"/>
    <w:link w:val="HTMLAddress"/>
    <w:uiPriority w:val="99"/>
    <w:semiHidden/>
    <w:rsid w:val="002A6A38"/>
    <w:rPr>
      <w:rFonts w:ascii="Verdana" w:hAnsi="Verdana" w:cs="Verdana"/>
      <w:i/>
      <w:iC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76055">
      <w:bodyDiv w:val="1"/>
      <w:marLeft w:val="0"/>
      <w:marRight w:val="0"/>
      <w:marTop w:val="0"/>
      <w:marBottom w:val="0"/>
      <w:divBdr>
        <w:top w:val="none" w:sz="0" w:space="0" w:color="auto"/>
        <w:left w:val="none" w:sz="0" w:space="0" w:color="auto"/>
        <w:bottom w:val="none" w:sz="0" w:space="0" w:color="auto"/>
        <w:right w:val="none" w:sz="0" w:space="0" w:color="auto"/>
      </w:divBdr>
      <w:divsChild>
        <w:div w:id="974869487">
          <w:marLeft w:val="0"/>
          <w:marRight w:val="0"/>
          <w:marTop w:val="0"/>
          <w:marBottom w:val="0"/>
          <w:divBdr>
            <w:top w:val="none" w:sz="0" w:space="0" w:color="auto"/>
            <w:left w:val="none" w:sz="0" w:space="0" w:color="auto"/>
            <w:bottom w:val="none" w:sz="0" w:space="0" w:color="auto"/>
            <w:right w:val="none" w:sz="0" w:space="0" w:color="auto"/>
          </w:divBdr>
          <w:divsChild>
            <w:div w:id="530730374">
              <w:marLeft w:val="0"/>
              <w:marRight w:val="0"/>
              <w:marTop w:val="0"/>
              <w:marBottom w:val="0"/>
              <w:divBdr>
                <w:top w:val="none" w:sz="0" w:space="0" w:color="auto"/>
                <w:left w:val="none" w:sz="0" w:space="0" w:color="auto"/>
                <w:bottom w:val="none" w:sz="0" w:space="0" w:color="auto"/>
                <w:right w:val="none" w:sz="0" w:space="0" w:color="auto"/>
              </w:divBdr>
              <w:divsChild>
                <w:div w:id="1527983448">
                  <w:marLeft w:val="0"/>
                  <w:marRight w:val="0"/>
                  <w:marTop w:val="0"/>
                  <w:marBottom w:val="0"/>
                  <w:divBdr>
                    <w:top w:val="none" w:sz="0" w:space="0" w:color="auto"/>
                    <w:left w:val="none" w:sz="0" w:space="0" w:color="auto"/>
                    <w:bottom w:val="none" w:sz="0" w:space="0" w:color="auto"/>
                    <w:right w:val="none" w:sz="0" w:space="0" w:color="auto"/>
                  </w:divBdr>
                  <w:divsChild>
                    <w:div w:id="1325351162">
                      <w:marLeft w:val="0"/>
                      <w:marRight w:val="0"/>
                      <w:marTop w:val="0"/>
                      <w:marBottom w:val="0"/>
                      <w:divBdr>
                        <w:top w:val="none" w:sz="0" w:space="0" w:color="auto"/>
                        <w:left w:val="none" w:sz="0" w:space="0" w:color="auto"/>
                        <w:bottom w:val="none" w:sz="0" w:space="0" w:color="auto"/>
                        <w:right w:val="none" w:sz="0" w:space="0" w:color="auto"/>
                      </w:divBdr>
                      <w:divsChild>
                        <w:div w:id="1171876430">
                          <w:marLeft w:val="0"/>
                          <w:marRight w:val="0"/>
                          <w:marTop w:val="0"/>
                          <w:marBottom w:val="0"/>
                          <w:divBdr>
                            <w:top w:val="none" w:sz="0" w:space="0" w:color="auto"/>
                            <w:left w:val="none" w:sz="0" w:space="0" w:color="auto"/>
                            <w:bottom w:val="none" w:sz="0" w:space="0" w:color="auto"/>
                            <w:right w:val="none" w:sz="0" w:space="0" w:color="auto"/>
                          </w:divBdr>
                          <w:divsChild>
                            <w:div w:id="1447234042">
                              <w:marLeft w:val="0"/>
                              <w:marRight w:val="0"/>
                              <w:marTop w:val="0"/>
                              <w:marBottom w:val="0"/>
                              <w:divBdr>
                                <w:top w:val="none" w:sz="0" w:space="0" w:color="auto"/>
                                <w:left w:val="none" w:sz="0" w:space="0" w:color="auto"/>
                                <w:bottom w:val="none" w:sz="0" w:space="0" w:color="auto"/>
                                <w:right w:val="none" w:sz="0" w:space="0" w:color="auto"/>
                              </w:divBdr>
                              <w:divsChild>
                                <w:div w:id="896235147">
                                  <w:marLeft w:val="0"/>
                                  <w:marRight w:val="0"/>
                                  <w:marTop w:val="0"/>
                                  <w:marBottom w:val="0"/>
                                  <w:divBdr>
                                    <w:top w:val="none" w:sz="0" w:space="0" w:color="auto"/>
                                    <w:left w:val="none" w:sz="0" w:space="0" w:color="auto"/>
                                    <w:bottom w:val="none" w:sz="0" w:space="0" w:color="auto"/>
                                    <w:right w:val="none" w:sz="0" w:space="0" w:color="auto"/>
                                  </w:divBdr>
                                  <w:divsChild>
                                    <w:div w:id="1762333759">
                                      <w:marLeft w:val="0"/>
                                      <w:marRight w:val="0"/>
                                      <w:marTop w:val="0"/>
                                      <w:marBottom w:val="0"/>
                                      <w:divBdr>
                                        <w:top w:val="none" w:sz="0" w:space="0" w:color="auto"/>
                                        <w:left w:val="none" w:sz="0" w:space="0" w:color="auto"/>
                                        <w:bottom w:val="none" w:sz="0" w:space="0" w:color="auto"/>
                                        <w:right w:val="none" w:sz="0" w:space="0" w:color="auto"/>
                                      </w:divBdr>
                                      <w:divsChild>
                                        <w:div w:id="521017581">
                                          <w:marLeft w:val="0"/>
                                          <w:marRight w:val="0"/>
                                          <w:marTop w:val="0"/>
                                          <w:marBottom w:val="0"/>
                                          <w:divBdr>
                                            <w:top w:val="none" w:sz="0" w:space="0" w:color="auto"/>
                                            <w:left w:val="none" w:sz="0" w:space="0" w:color="auto"/>
                                            <w:bottom w:val="none" w:sz="0" w:space="0" w:color="auto"/>
                                            <w:right w:val="none" w:sz="0" w:space="0" w:color="auto"/>
                                          </w:divBdr>
                                          <w:divsChild>
                                            <w:div w:id="6428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F643B-4DD0-4509-8507-A70CE2FE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2503</Words>
  <Characters>13895</Characters>
  <Application>Microsoft Office Word</Application>
  <DocSecurity>4</DocSecurity>
  <Lines>479</Lines>
  <Paragraphs>192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for submission of comments</vt:lpstr>
      <vt:lpstr>Form for submission of comments</vt:lpstr>
    </vt:vector>
  </TitlesOfParts>
  <Company>European Medicines Agency</Company>
  <LinksUpToDate>false</LinksUpToDate>
  <CharactersWithSpaces>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creator>European Medicines Agency</dc:creator>
  <cp:lastModifiedBy>VERBEIREN Isabelle (SANCO)</cp:lastModifiedBy>
  <cp:revision>2</cp:revision>
  <cp:lastPrinted>2010-02-03T14:38:00Z</cp:lastPrinted>
  <dcterms:created xsi:type="dcterms:W3CDTF">2016-10-04T12:56:00Z</dcterms:created>
  <dcterms:modified xsi:type="dcterms:W3CDTF">2016-10-04T12:56:00Z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ies>
</file>